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69" w:rsidRPr="00783E65" w:rsidRDefault="00967322" w:rsidP="001F7869">
      <w:pPr>
        <w:pStyle w:val="Title"/>
      </w:pPr>
      <w:bookmarkStart w:id="0" w:name="_GoBack"/>
      <w:bookmarkEnd w:id="0"/>
      <w:r w:rsidRPr="00783E65">
        <w:t xml:space="preserve">PUC DOCKET NO. </w:t>
      </w:r>
      <w:r w:rsidR="00783E65" w:rsidRPr="00783E65">
        <w:t>42860</w:t>
      </w:r>
      <w:r w:rsidRPr="00783E65">
        <w:br/>
        <w:t xml:space="preserve">SOAH DOCKET NO. </w:t>
      </w:r>
      <w:r w:rsidR="00783E65" w:rsidRPr="00783E65">
        <w:t>473-14-5140</w:t>
      </w:r>
    </w:p>
    <w:tbl>
      <w:tblPr>
        <w:tblW w:w="9450" w:type="dxa"/>
        <w:tblInd w:w="108" w:type="dxa"/>
        <w:tblLayout w:type="fixed"/>
        <w:tblLook w:val="0000" w:firstRow="0" w:lastRow="0" w:firstColumn="0" w:lastColumn="0" w:noHBand="0" w:noVBand="0"/>
      </w:tblPr>
      <w:tblGrid>
        <w:gridCol w:w="4608"/>
        <w:gridCol w:w="360"/>
        <w:gridCol w:w="4482"/>
      </w:tblGrid>
      <w:tr w:rsidR="00967322" w:rsidRPr="00783E65" w:rsidTr="001F7869">
        <w:tc>
          <w:tcPr>
            <w:tcW w:w="4608" w:type="dxa"/>
          </w:tcPr>
          <w:p w:rsidR="00967322" w:rsidRPr="00783E65" w:rsidRDefault="00783E65" w:rsidP="00783E65">
            <w:pPr>
              <w:rPr>
                <w:rFonts w:ascii="Times New Roman Bold" w:hAnsi="Times New Roman Bold"/>
                <w:b/>
                <w:caps/>
                <w:szCs w:val="24"/>
              </w:rPr>
            </w:pPr>
            <w:r w:rsidRPr="00783E65">
              <w:rPr>
                <w:rFonts w:ascii="Times New Roman Bold" w:hAnsi="Times New Roman Bold"/>
                <w:b/>
                <w:caps/>
                <w:szCs w:val="24"/>
              </w:rPr>
              <w:t>Application of Douglas Utility Company to Change Water and Sewer Rate/Tariff in Harris County, Texas</w:t>
            </w:r>
          </w:p>
        </w:tc>
        <w:tc>
          <w:tcPr>
            <w:tcW w:w="360" w:type="dxa"/>
          </w:tcPr>
          <w:p w:rsidR="00967322" w:rsidRPr="00783E65" w:rsidRDefault="00967322">
            <w:pPr>
              <w:rPr>
                <w:b/>
              </w:rPr>
            </w:pPr>
            <w:r w:rsidRPr="00783E65">
              <w:rPr>
                <w:b/>
              </w:rPr>
              <w:t>§</w:t>
            </w:r>
          </w:p>
          <w:p w:rsidR="00967322" w:rsidRPr="00783E65" w:rsidRDefault="00967322">
            <w:pPr>
              <w:rPr>
                <w:b/>
              </w:rPr>
            </w:pPr>
            <w:r w:rsidRPr="00783E65">
              <w:rPr>
                <w:b/>
              </w:rPr>
              <w:t>§</w:t>
            </w:r>
          </w:p>
          <w:p w:rsidR="00967322" w:rsidRPr="00783E65" w:rsidRDefault="00783E65">
            <w:pPr>
              <w:rPr>
                <w:b/>
              </w:rPr>
            </w:pPr>
            <w:r w:rsidRPr="00783E65">
              <w:rPr>
                <w:b/>
              </w:rPr>
              <w:t>§</w:t>
            </w:r>
            <w:r w:rsidR="00967322" w:rsidRPr="00783E65">
              <w:rPr>
                <w:b/>
              </w:rPr>
              <w:t>§</w:t>
            </w:r>
          </w:p>
        </w:tc>
        <w:tc>
          <w:tcPr>
            <w:tcW w:w="4482" w:type="dxa"/>
          </w:tcPr>
          <w:p w:rsidR="00967322" w:rsidRPr="00783E65" w:rsidRDefault="00967322">
            <w:pPr>
              <w:jc w:val="center"/>
              <w:rPr>
                <w:b/>
              </w:rPr>
            </w:pPr>
            <w:r w:rsidRPr="00783E65">
              <w:rPr>
                <w:b/>
              </w:rPr>
              <w:t>PUBLIC UTILITY COMMISSION</w:t>
            </w:r>
          </w:p>
          <w:p w:rsidR="00967322" w:rsidRPr="00783E65" w:rsidRDefault="00967322">
            <w:pPr>
              <w:jc w:val="center"/>
              <w:rPr>
                <w:b/>
              </w:rPr>
            </w:pPr>
          </w:p>
          <w:p w:rsidR="00967322" w:rsidRPr="00783E65" w:rsidRDefault="00967322">
            <w:pPr>
              <w:jc w:val="center"/>
              <w:rPr>
                <w:b/>
              </w:rPr>
            </w:pPr>
            <w:r w:rsidRPr="00783E65">
              <w:rPr>
                <w:b/>
              </w:rPr>
              <w:t>OF TEXAS</w:t>
            </w:r>
          </w:p>
        </w:tc>
      </w:tr>
    </w:tbl>
    <w:p w:rsidR="00967322" w:rsidRPr="00783E65" w:rsidRDefault="00967322">
      <w:pPr>
        <w:pStyle w:val="Title"/>
      </w:pPr>
      <w:r w:rsidRPr="00783E65">
        <w:t>ORDER</w:t>
      </w:r>
      <w:r w:rsidR="00783E65" w:rsidRPr="00783E65">
        <w:t xml:space="preserve"> ON APPEAL OF SOAH ORDER NO. 3</w:t>
      </w:r>
    </w:p>
    <w:p w:rsidR="00783E65" w:rsidRPr="00783E65" w:rsidRDefault="00783E65">
      <w:pPr>
        <w:pStyle w:val="BodyText"/>
      </w:pPr>
      <w:r>
        <w:t>In</w:t>
      </w:r>
      <w:r w:rsidRPr="00783E65">
        <w:t xml:space="preserve"> this Order, the Commission </w:t>
      </w:r>
      <w:r w:rsidR="00153B4C">
        <w:t>addresses</w:t>
      </w:r>
      <w:r w:rsidRPr="00783E65">
        <w:t xml:space="preserve"> </w:t>
      </w:r>
      <w:r>
        <w:t xml:space="preserve">Equality Community Housing Corporation’s appeal of SOAH Order No. 3.  </w:t>
      </w:r>
      <w:r w:rsidR="00153B4C">
        <w:t>For the reasons discussed in this order,</w:t>
      </w:r>
      <w:r>
        <w:t xml:space="preserve"> the Commission </w:t>
      </w:r>
      <w:r w:rsidR="00153B4C">
        <w:t>denie</w:t>
      </w:r>
      <w:r>
        <w:t>s</w:t>
      </w:r>
      <w:r w:rsidR="00153B4C">
        <w:t xml:space="preserve"> Equality’s appeal and concludes that a limited evidentiary hearing is necessary to determine</w:t>
      </w:r>
      <w:r w:rsidR="00441EDD">
        <w:t xml:space="preserve"> </w:t>
      </w:r>
      <w:r>
        <w:t xml:space="preserve">whether or not </w:t>
      </w:r>
      <w:r w:rsidR="00441EDD">
        <w:t>the</w:t>
      </w:r>
      <w:r>
        <w:t xml:space="preserve"> settle</w:t>
      </w:r>
      <w:r w:rsidR="00E54365">
        <w:t>ment rates</w:t>
      </w:r>
      <w:r w:rsidR="00D34F93">
        <w:t xml:space="preserve"> in this proceeding</w:t>
      </w:r>
      <w:r w:rsidR="00441EDD">
        <w:t xml:space="preserve"> </w:t>
      </w:r>
      <w:r w:rsidR="00E54365">
        <w:t>violate</w:t>
      </w:r>
      <w:r w:rsidR="00163763">
        <w:t xml:space="preserve"> s</w:t>
      </w:r>
      <w:r w:rsidR="00441EDD">
        <w:t>ection 13.183(a) of the Texas Water Code (TWC).</w:t>
      </w:r>
      <w:r w:rsidR="00153B4C">
        <w:t xml:space="preserve">  If the</w:t>
      </w:r>
      <w:r w:rsidR="001A48B9">
        <w:t xml:space="preserve"> Commission concludes that the</w:t>
      </w:r>
      <w:r w:rsidR="00153B4C">
        <w:t xml:space="preserve"> settlement rates violat</w:t>
      </w:r>
      <w:r w:rsidR="00E54365">
        <w:t>e</w:t>
      </w:r>
      <w:r w:rsidR="00153B4C">
        <w:t xml:space="preserve"> </w:t>
      </w:r>
      <w:r w:rsidR="00E54365">
        <w:t>that section</w:t>
      </w:r>
      <w:r w:rsidR="00153B4C">
        <w:t xml:space="preserve">, this matter </w:t>
      </w:r>
      <w:r w:rsidR="001A48B9">
        <w:t>would then have to</w:t>
      </w:r>
      <w:r w:rsidR="00153B4C">
        <w:t xml:space="preserve"> proceed to a hearing to establish legal rates for Douglas.  If </w:t>
      </w:r>
      <w:r w:rsidR="001A48B9">
        <w:t>the Commission concludes otherwise, it will have to</w:t>
      </w:r>
      <w:r w:rsidR="00153B4C">
        <w:t xml:space="preserve"> consider</w:t>
      </w:r>
      <w:r w:rsidR="001A48B9">
        <w:t xml:space="preserve"> whether</w:t>
      </w:r>
      <w:r w:rsidR="00153B4C">
        <w:t xml:space="preserve"> adoption of the settlement </w:t>
      </w:r>
      <w:r w:rsidR="001A48B9">
        <w:t>agreement is appropriate</w:t>
      </w:r>
      <w:r w:rsidR="00153B4C">
        <w:t>.</w:t>
      </w:r>
    </w:p>
    <w:p w:rsidR="00967322" w:rsidRPr="00AC24DF" w:rsidRDefault="00163763">
      <w:pPr>
        <w:pStyle w:val="Heading1"/>
      </w:pPr>
      <w:r w:rsidRPr="00AC24DF">
        <w:t xml:space="preserve">  Background</w:t>
      </w:r>
    </w:p>
    <w:p w:rsidR="00163763" w:rsidRDefault="00392873" w:rsidP="00163763">
      <w:pPr>
        <w:pStyle w:val="BodyText"/>
      </w:pPr>
      <w:r>
        <w:t xml:space="preserve">On March 12, 2013, </w:t>
      </w:r>
      <w:r w:rsidR="00163763">
        <w:t xml:space="preserve">Douglas Utility Company </w:t>
      </w:r>
      <w:r w:rsidR="00153B4C">
        <w:t>filed with</w:t>
      </w:r>
      <w:r w:rsidR="00163763">
        <w:t xml:space="preserve"> the Texas Commission on Environmental Quality (TCEQ) </w:t>
      </w:r>
      <w:r w:rsidR="00153B4C">
        <w:t xml:space="preserve">a notice of intent </w:t>
      </w:r>
      <w:r w:rsidR="00163763">
        <w:t xml:space="preserve">to change </w:t>
      </w:r>
      <w:r w:rsidR="00153B4C">
        <w:t>Douglas’s</w:t>
      </w:r>
      <w:r w:rsidR="00163763">
        <w:t xml:space="preserve"> rates for water and sewer service.</w:t>
      </w:r>
      <w:r>
        <w:rPr>
          <w:rStyle w:val="FootnoteReference"/>
        </w:rPr>
        <w:footnoteReference w:id="1"/>
      </w:r>
      <w:r w:rsidR="00163763">
        <w:t xml:space="preserve"> </w:t>
      </w:r>
    </w:p>
    <w:p w:rsidR="00163763" w:rsidRDefault="00163763" w:rsidP="00163763">
      <w:pPr>
        <w:pStyle w:val="BodyText"/>
      </w:pPr>
      <w:r>
        <w:t xml:space="preserve">On July 29, 2014, Douglas, the executive director of </w:t>
      </w:r>
      <w:r w:rsidR="001C3B47">
        <w:t>the TCE</w:t>
      </w:r>
      <w:r w:rsidR="00083DD0">
        <w:t>Q</w:t>
      </w:r>
      <w:r>
        <w:t xml:space="preserve">, the Office of Public Interest Counsel, the Fountainview Homeowners Association, and Equality Community Housing Corporation participated in mediation at the State Office of Administrative Hearings (SOAH) and </w:t>
      </w:r>
      <w:r w:rsidR="00E54365">
        <w:t>agreed on</w:t>
      </w:r>
      <w:r>
        <w:t xml:space="preserve"> new </w:t>
      </w:r>
      <w:r w:rsidR="00E26573">
        <w:t xml:space="preserve">water and sewer service </w:t>
      </w:r>
      <w:r>
        <w:t>rates.</w:t>
      </w:r>
      <w:r w:rsidR="00BF5BA2">
        <w:rPr>
          <w:rStyle w:val="FootnoteReference"/>
        </w:rPr>
        <w:footnoteReference w:id="2"/>
      </w:r>
      <w:r>
        <w:t xml:space="preserve"> </w:t>
      </w:r>
      <w:r w:rsidR="00171F79">
        <w:t xml:space="preserve"> </w:t>
      </w:r>
      <w:r>
        <w:t xml:space="preserve">On July 30, 2014, the TCEQ </w:t>
      </w:r>
      <w:r w:rsidR="001C3B47">
        <w:t xml:space="preserve">executive </w:t>
      </w:r>
      <w:r w:rsidR="001C3B47">
        <w:lastRenderedPageBreak/>
        <w:t>director</w:t>
      </w:r>
      <w:r>
        <w:t xml:space="preserve"> filed the settlement document and moved to dismiss the proceeding from SOAH and remand it to the TCEQ </w:t>
      </w:r>
      <w:r w:rsidR="001C3B47">
        <w:t>executive director</w:t>
      </w:r>
      <w:r>
        <w:t xml:space="preserve"> for processing.</w:t>
      </w:r>
      <w:r w:rsidR="00392873">
        <w:rPr>
          <w:rStyle w:val="FootnoteReference"/>
        </w:rPr>
        <w:footnoteReference w:id="3"/>
      </w:r>
    </w:p>
    <w:p w:rsidR="00163763" w:rsidRDefault="00163763" w:rsidP="00163763">
      <w:pPr>
        <w:pStyle w:val="BodyText"/>
      </w:pPr>
      <w:r>
        <w:t>However, on July 31,</w:t>
      </w:r>
      <w:r w:rsidR="00392873">
        <w:t xml:space="preserve"> 2014</w:t>
      </w:r>
      <w:r w:rsidR="00BF5BA2">
        <w:t>,</w:t>
      </w:r>
      <w:r>
        <w:t xml:space="preserve"> Douglas filed a response opposing the </w:t>
      </w:r>
      <w:r w:rsidR="001A48B9">
        <w:t xml:space="preserve">motion to dismiss and remand. </w:t>
      </w:r>
      <w:r>
        <w:t xml:space="preserve"> Douglas asserted it was withdrawing from the settlement because, after </w:t>
      </w:r>
      <w:r w:rsidR="00E54365">
        <w:t>signing the agreement</w:t>
      </w:r>
      <w:r>
        <w:t>, Douglas determined that the agreed rates would result in a negative cash flow.  Douglas also stated it could not provide continuous and adequate service if it cannot pay its bills.</w:t>
      </w:r>
      <w:r w:rsidR="00BF5BA2">
        <w:rPr>
          <w:rStyle w:val="FootnoteReference"/>
        </w:rPr>
        <w:footnoteReference w:id="4"/>
      </w:r>
    </w:p>
    <w:p w:rsidR="00163763" w:rsidRDefault="001C3B47" w:rsidP="00163763">
      <w:pPr>
        <w:pStyle w:val="BodyText"/>
      </w:pPr>
      <w:r>
        <w:t>The executive director</w:t>
      </w:r>
      <w:r w:rsidR="00163763">
        <w:t xml:space="preserve">, Equality, and Fountainview </w:t>
      </w:r>
      <w:r w:rsidR="0014411A">
        <w:t xml:space="preserve">each </w:t>
      </w:r>
      <w:r w:rsidR="00163763">
        <w:t xml:space="preserve">made filings arguing Douglas is </w:t>
      </w:r>
      <w:r w:rsidR="00256D9A">
        <w:t xml:space="preserve">legally </w:t>
      </w:r>
      <w:r w:rsidR="00163763">
        <w:t xml:space="preserve">bound by the terms of the mediated settlement document and remand to the TCEQ </w:t>
      </w:r>
      <w:r>
        <w:t>executive director</w:t>
      </w:r>
      <w:r w:rsidR="00163763">
        <w:t xml:space="preserve"> for processing would be proper.</w:t>
      </w:r>
      <w:r w:rsidR="00BF5BA2">
        <w:rPr>
          <w:rStyle w:val="FootnoteReference"/>
        </w:rPr>
        <w:footnoteReference w:id="5"/>
      </w:r>
    </w:p>
    <w:p w:rsidR="00392873" w:rsidRPr="001A48B9" w:rsidRDefault="00163763" w:rsidP="00163763">
      <w:pPr>
        <w:pStyle w:val="BodyText"/>
        <w:rPr>
          <w:highlight w:val="yellow"/>
        </w:rPr>
      </w:pPr>
      <w:r>
        <w:t>On August 20,</w:t>
      </w:r>
      <w:r w:rsidR="00392873">
        <w:t xml:space="preserve"> 2014</w:t>
      </w:r>
      <w:r>
        <w:t xml:space="preserve"> in SOAH Order No. 3, the SOAH ALJ effectively denied </w:t>
      </w:r>
      <w:r w:rsidR="001C3B47">
        <w:t xml:space="preserve">the </w:t>
      </w:r>
      <w:r>
        <w:t xml:space="preserve">TCEQ </w:t>
      </w:r>
      <w:r w:rsidR="001C3B47">
        <w:t>executive director</w:t>
      </w:r>
      <w:r>
        <w:t>’s motion to dismiss and remand</w:t>
      </w:r>
      <w:r w:rsidR="00585803">
        <w:t>.</w:t>
      </w:r>
      <w:r>
        <w:t xml:space="preserve"> </w:t>
      </w:r>
      <w:r w:rsidR="00585803">
        <w:t xml:space="preserve"> The SOAH ALJ </w:t>
      </w:r>
      <w:r w:rsidR="00570340">
        <w:t>noted</w:t>
      </w:r>
      <w:r>
        <w:t xml:space="preserve"> </w:t>
      </w:r>
      <w:r w:rsidR="00585803">
        <w:t xml:space="preserve">that </w:t>
      </w:r>
      <w:r>
        <w:t>the</w:t>
      </w:r>
      <w:r w:rsidR="001A48B9">
        <w:t xml:space="preserve"> TCEQ’s</w:t>
      </w:r>
      <w:r>
        <w:t xml:space="preserve"> </w:t>
      </w:r>
      <w:r w:rsidR="00E54365">
        <w:t>then-</w:t>
      </w:r>
      <w:r>
        <w:t xml:space="preserve">applicable </w:t>
      </w:r>
      <w:r w:rsidR="001A48B9">
        <w:t>remand</w:t>
      </w:r>
      <w:r>
        <w:t xml:space="preserve"> rule, 30 TAC </w:t>
      </w:r>
      <w:r w:rsidR="001A48B9">
        <w:t>§ </w:t>
      </w:r>
      <w:r>
        <w:t>80.101, contemplates remands of cases in which “no fact or issues remain controverted” and</w:t>
      </w:r>
      <w:r w:rsidR="00570340">
        <w:t xml:space="preserve"> that after remand the application should be considered </w:t>
      </w:r>
      <w:r w:rsidR="00570340" w:rsidRPr="001A48B9">
        <w:t>uncontested</w:t>
      </w:r>
      <w:r w:rsidRPr="001A48B9">
        <w:t>.</w:t>
      </w:r>
      <w:r w:rsidR="00256D9A" w:rsidRPr="001A48B9">
        <w:rPr>
          <w:rStyle w:val="FootnoteReference"/>
        </w:rPr>
        <w:footnoteReference w:id="6"/>
      </w:r>
      <w:r w:rsidR="00570340" w:rsidRPr="001A48B9">
        <w:t xml:space="preserve"> </w:t>
      </w:r>
      <w:r w:rsidR="00664CF1" w:rsidRPr="001A48B9">
        <w:t xml:space="preserve"> </w:t>
      </w:r>
      <w:r w:rsidR="00570340" w:rsidRPr="001A48B9">
        <w:t>The ALJ concluded that this matter did not fall within that rule.</w:t>
      </w:r>
      <w:r w:rsidR="00570340" w:rsidRPr="001A48B9">
        <w:rPr>
          <w:rStyle w:val="FootnoteReference"/>
        </w:rPr>
        <w:footnoteReference w:id="7"/>
      </w:r>
      <w:r w:rsidR="002E392D" w:rsidRPr="001A48B9">
        <w:t xml:space="preserve">  On August 28, the TCEQ executive director filed a motion for reconsideration asking the ALJ to reverse her ruling and dismiss this matter and remand it to the executive director as an uncontested matter.</w:t>
      </w:r>
      <w:r w:rsidR="002E392D" w:rsidRPr="001A48B9">
        <w:rPr>
          <w:rStyle w:val="FootnoteReference"/>
        </w:rPr>
        <w:footnoteReference w:id="8"/>
      </w:r>
    </w:p>
    <w:p w:rsidR="00392873" w:rsidRDefault="002E392D" w:rsidP="00392873">
      <w:pPr>
        <w:pStyle w:val="BodyText"/>
      </w:pPr>
      <w:r>
        <w:t xml:space="preserve">On </w:t>
      </w:r>
      <w:r w:rsidR="00392873">
        <w:t>September 1, 2014, jurisdiction over this proceeding transferred by statute from</w:t>
      </w:r>
      <w:r w:rsidR="001C3B47">
        <w:t xml:space="preserve"> the </w:t>
      </w:r>
      <w:r w:rsidR="00392873">
        <w:t>TCEQ to this Commission.</w:t>
      </w:r>
      <w:r w:rsidR="00337E24">
        <w:rPr>
          <w:rStyle w:val="FootnoteReference"/>
        </w:rPr>
        <w:footnoteReference w:id="9"/>
      </w:r>
      <w:r w:rsidR="00392873">
        <w:t xml:space="preserve"> </w:t>
      </w:r>
    </w:p>
    <w:p w:rsidR="00392873" w:rsidRPr="008F4AFA" w:rsidRDefault="00392873" w:rsidP="00392873">
      <w:pPr>
        <w:pStyle w:val="BodyText"/>
        <w:rPr>
          <w:highlight w:val="yellow"/>
        </w:rPr>
      </w:pPr>
      <w:r>
        <w:lastRenderedPageBreak/>
        <w:t>On September 2, 2014</w:t>
      </w:r>
      <w:r w:rsidR="00AC24DF">
        <w:t>,</w:t>
      </w:r>
      <w:r>
        <w:t xml:space="preserve"> </w:t>
      </w:r>
      <w:r w:rsidR="00104DFE">
        <w:t xml:space="preserve">Equality filed a motion for reconsideration and in the alternative a request for summary decision </w:t>
      </w:r>
      <w:r w:rsidR="001A48B9">
        <w:t>or</w:t>
      </w:r>
      <w:r w:rsidR="00104DFE">
        <w:t xml:space="preserve"> a request for certification of an issue to the Commission.</w:t>
      </w:r>
      <w:r w:rsidR="00104DFE">
        <w:rPr>
          <w:rStyle w:val="FootnoteReference"/>
        </w:rPr>
        <w:footnoteReference w:id="10"/>
      </w:r>
      <w:r w:rsidR="00104DFE">
        <w:t xml:space="preserve">  </w:t>
      </w:r>
      <w:r w:rsidR="00AC24DF">
        <w:t xml:space="preserve">On the same day, </w:t>
      </w:r>
      <w:r w:rsidR="00104DFE">
        <w:t xml:space="preserve">Equality timely filed an appeal of SOAH Order No. 3 in which it incorporated its arguments in its motion for reconsideration.  </w:t>
      </w:r>
      <w:r w:rsidR="00B73C27">
        <w:t>Equality asserted that the ALJ erred by not enforcing the settlement agreement because a mediated settlement agreement is a</w:t>
      </w:r>
      <w:r w:rsidR="001A48B9">
        <w:t>n enforceable</w:t>
      </w:r>
      <w:r w:rsidR="00B73C27">
        <w:t xml:space="preserve"> contract.</w:t>
      </w:r>
      <w:r w:rsidR="00B73C27">
        <w:rPr>
          <w:rStyle w:val="FootnoteReference"/>
        </w:rPr>
        <w:footnoteReference w:id="11"/>
      </w:r>
      <w:r w:rsidR="00B73C27">
        <w:t xml:space="preserve">  Equ</w:t>
      </w:r>
      <w:r w:rsidR="007723B9">
        <w:t>al</w:t>
      </w:r>
      <w:r w:rsidR="00B73C27">
        <w:t xml:space="preserve">ity cited </w:t>
      </w:r>
      <w:r w:rsidR="001A48B9">
        <w:t xml:space="preserve">section 154.071(a) of the </w:t>
      </w:r>
      <w:r w:rsidR="00B73C27">
        <w:t>Tex</w:t>
      </w:r>
      <w:r w:rsidR="001A48B9">
        <w:t>as</w:t>
      </w:r>
      <w:r w:rsidR="00B73C27">
        <w:t xml:space="preserve"> Civ</w:t>
      </w:r>
      <w:r w:rsidR="001A48B9">
        <w:t>il</w:t>
      </w:r>
      <w:r w:rsidR="00B73C27">
        <w:t xml:space="preserve"> Prac</w:t>
      </w:r>
      <w:r w:rsidR="001A48B9">
        <w:t>tice and</w:t>
      </w:r>
      <w:r w:rsidR="00B73C27">
        <w:t xml:space="preserve"> Rem</w:t>
      </w:r>
      <w:r w:rsidR="001A48B9">
        <w:t>edies</w:t>
      </w:r>
      <w:r w:rsidR="00B73C27">
        <w:t xml:space="preserve"> Code, </w:t>
      </w:r>
      <w:r w:rsidR="001A48B9">
        <w:t xml:space="preserve">rule 11 of the </w:t>
      </w:r>
      <w:r w:rsidR="00B73C27">
        <w:t>Tex</w:t>
      </w:r>
      <w:r w:rsidR="001A48B9">
        <w:t>as</w:t>
      </w:r>
      <w:r w:rsidR="00B73C27">
        <w:t xml:space="preserve"> R</w:t>
      </w:r>
      <w:r w:rsidR="001A48B9">
        <w:t xml:space="preserve">ules of </w:t>
      </w:r>
      <w:r w:rsidR="00B73C27">
        <w:t>Civ</w:t>
      </w:r>
      <w:r w:rsidR="001A48B9">
        <w:t>il</w:t>
      </w:r>
      <w:r w:rsidR="00B73C27">
        <w:t xml:space="preserve"> Proc</w:t>
      </w:r>
      <w:r w:rsidR="001A48B9">
        <w:t>edure</w:t>
      </w:r>
      <w:r w:rsidR="00B73C27">
        <w:t>, and</w:t>
      </w:r>
      <w:r w:rsidR="008F4AFA">
        <w:t xml:space="preserve"> the TCEQ’s alternative-dispute-resolution rule,</w:t>
      </w:r>
      <w:r w:rsidR="00B73C27">
        <w:t xml:space="preserve"> 30 TAC § 40.8.</w:t>
      </w:r>
      <w:r w:rsidR="00B73C27">
        <w:rPr>
          <w:rStyle w:val="FootnoteReference"/>
        </w:rPr>
        <w:footnoteReference w:id="12"/>
      </w:r>
      <w:r w:rsidR="008F4AFA">
        <w:t xml:space="preserve">  </w:t>
      </w:r>
      <w:r w:rsidR="00AC24DF">
        <w:t xml:space="preserve">Commission Staff timely filed a response in support of Equality’s appeal </w:t>
      </w:r>
      <w:r w:rsidR="00171F79">
        <w:t>in which it</w:t>
      </w:r>
      <w:r w:rsidR="008F4AFA">
        <w:t xml:space="preserve"> also</w:t>
      </w:r>
      <w:r w:rsidR="00171F79">
        <w:t xml:space="preserve"> argued that the settlement agreement is a binding contact.</w:t>
      </w:r>
      <w:r w:rsidR="00171F79">
        <w:rPr>
          <w:rStyle w:val="FootnoteReference"/>
        </w:rPr>
        <w:footnoteReference w:id="13"/>
      </w:r>
      <w:r w:rsidR="00AC24DF">
        <w:t xml:space="preserve"> Douglas late</w:t>
      </w:r>
      <w:r w:rsidR="00104DFE">
        <w:t xml:space="preserve"> </w:t>
      </w:r>
      <w:r w:rsidR="00AC24DF">
        <w:t>filed a response opposing Equality’s appeal on September 22</w:t>
      </w:r>
      <w:r w:rsidR="00AC24DF" w:rsidRPr="008F4AFA">
        <w:t>.</w:t>
      </w:r>
    </w:p>
    <w:p w:rsidR="00392873" w:rsidRDefault="00392873" w:rsidP="00392873">
      <w:pPr>
        <w:pStyle w:val="BodyText"/>
      </w:pPr>
      <w:r>
        <w:t>On September 16,</w:t>
      </w:r>
      <w:r w:rsidR="00AC24DF">
        <w:t xml:space="preserve"> 2014,</w:t>
      </w:r>
      <w:r>
        <w:t xml:space="preserve"> the SOAH ALJ </w:t>
      </w:r>
      <w:r w:rsidR="008F4AFA">
        <w:t>denied</w:t>
      </w:r>
      <w:r>
        <w:t xml:space="preserve"> Equality’s motion to reconsider SOAH Order No. 3 and the alternative request</w:t>
      </w:r>
      <w:r w:rsidR="00171F79">
        <w:t>s for summary decision or</w:t>
      </w:r>
      <w:r>
        <w:t xml:space="preserve"> to certify an issue</w:t>
      </w:r>
      <w:r w:rsidR="00171F79">
        <w:t xml:space="preserve"> to the Commission</w:t>
      </w:r>
      <w:r>
        <w:t>.</w:t>
      </w:r>
      <w:r w:rsidR="00EF723B">
        <w:rPr>
          <w:rStyle w:val="FootnoteReference"/>
        </w:rPr>
        <w:footnoteReference w:id="14"/>
      </w:r>
      <w:r>
        <w:t xml:space="preserve">  The SOAH ALJ</w:t>
      </w:r>
      <w:r w:rsidR="00171F79">
        <w:t xml:space="preserve"> first</w:t>
      </w:r>
      <w:r>
        <w:t xml:space="preserve"> noted</w:t>
      </w:r>
      <w:r w:rsidR="008F4AFA">
        <w:t xml:space="preserve"> that</w:t>
      </w:r>
      <w:r w:rsidR="00171F79">
        <w:t xml:space="preserve"> under the TCEQ’s remand rule, 30 TAC § 80.101, that only</w:t>
      </w:r>
      <w:r w:rsidR="000E6DA0">
        <w:t xml:space="preserve"> the applicant—here the utility—may request a remand to the executive director.</w:t>
      </w:r>
      <w:r w:rsidR="000E6DA0">
        <w:rPr>
          <w:rStyle w:val="FootnoteReference"/>
        </w:rPr>
        <w:footnoteReference w:id="15"/>
      </w:r>
      <w:r w:rsidR="00171F79">
        <w:t xml:space="preserve"> </w:t>
      </w:r>
      <w:r w:rsidR="000E6DA0">
        <w:t xml:space="preserve"> Furthermore, the ALJ concluded that the rule was inapplicable here because all parties had not reached a settlement, facts and issues were controverted, the application was not uncontested, and the utility did not agree to the action of the executive director.</w:t>
      </w:r>
      <w:r w:rsidR="000E6DA0">
        <w:rPr>
          <w:rStyle w:val="FootnoteReference"/>
        </w:rPr>
        <w:footnoteReference w:id="16"/>
      </w:r>
      <w:r w:rsidR="000E6DA0">
        <w:t xml:space="preserve">  Next</w:t>
      </w:r>
      <w:r>
        <w:t>,</w:t>
      </w:r>
      <w:r w:rsidR="000E6DA0">
        <w:t xml:space="preserve"> the ALJ concluded that section 154.071(a) of the Texas Civil Practice and Remedies Code did not apply here</w:t>
      </w:r>
      <w:r w:rsidR="005A08B6">
        <w:t xml:space="preserve"> primarily</w:t>
      </w:r>
      <w:r w:rsidR="000E6DA0">
        <w:t xml:space="preserve"> because a SOAH ALJ has no authority to enforce a contract</w:t>
      </w:r>
      <w:r w:rsidR="005A08B6">
        <w:t>.</w:t>
      </w:r>
      <w:r w:rsidR="005A08B6">
        <w:rPr>
          <w:rStyle w:val="FootnoteReference"/>
        </w:rPr>
        <w:footnoteReference w:id="17"/>
      </w:r>
      <w:r>
        <w:t xml:space="preserve"> </w:t>
      </w:r>
      <w:r w:rsidR="005A08B6">
        <w:t xml:space="preserve"> The ALJ then concluded that the TCEQ’s alternative-dispute-resolution rules were inapplicable because th</w:t>
      </w:r>
      <w:r w:rsidR="008F4AFA">
        <w:t>ose rules</w:t>
      </w:r>
      <w:r w:rsidR="005A08B6">
        <w:t xml:space="preserve"> only applied to procedures conducted by the TCEQ itself.</w:t>
      </w:r>
      <w:r w:rsidR="005A08B6">
        <w:rPr>
          <w:rStyle w:val="FootnoteReference"/>
        </w:rPr>
        <w:footnoteReference w:id="18"/>
      </w:r>
      <w:r w:rsidR="005A08B6">
        <w:t xml:space="preserve">  Finally, the ALJ stated</w:t>
      </w:r>
      <w:r>
        <w:t xml:space="preserve"> that Equality had not addressed whether entry of the settlement w</w:t>
      </w:r>
      <w:r w:rsidR="00766E42">
        <w:t>ould</w:t>
      </w:r>
      <w:r>
        <w:t xml:space="preserve"> impact the public’s </w:t>
      </w:r>
      <w:r>
        <w:lastRenderedPageBreak/>
        <w:t>expectation of continuous and adequate service within Douglas’s service area</w:t>
      </w:r>
      <w:r w:rsidR="005A08B6">
        <w:t xml:space="preserve">—an </w:t>
      </w:r>
      <w:r>
        <w:t xml:space="preserve">issue raised by Douglas in its opposition to the TCEQ </w:t>
      </w:r>
      <w:r w:rsidR="001C3B47">
        <w:t>executive director</w:t>
      </w:r>
      <w:r>
        <w:t>’s motion to dismiss and remand</w:t>
      </w:r>
      <w:r w:rsidR="005A08B6">
        <w:t>—and a statutory obligation of every holder of a certificate of convenience and necessity</w:t>
      </w:r>
      <w:r>
        <w:t>.</w:t>
      </w:r>
      <w:r w:rsidR="00256D9A">
        <w:rPr>
          <w:rStyle w:val="FootnoteReference"/>
        </w:rPr>
        <w:footnoteReference w:id="19"/>
      </w:r>
      <w:r>
        <w:t xml:space="preserve"> </w:t>
      </w:r>
    </w:p>
    <w:p w:rsidR="00AC24DF" w:rsidRPr="00AC24DF" w:rsidRDefault="00AC24DF" w:rsidP="00DC477F">
      <w:pPr>
        <w:pStyle w:val="Heading1"/>
        <w:numPr>
          <w:ilvl w:val="0"/>
          <w:numId w:val="0"/>
        </w:numPr>
      </w:pPr>
      <w:r>
        <w:t>II</w:t>
      </w:r>
      <w:proofErr w:type="gramStart"/>
      <w:r>
        <w:t>.</w:t>
      </w:r>
      <w:r w:rsidRPr="00AC24DF">
        <w:t xml:space="preserve">  </w:t>
      </w:r>
      <w:r w:rsidR="007F2DB7">
        <w:t>D</w:t>
      </w:r>
      <w:r w:rsidR="00766E42">
        <w:t>iscussion</w:t>
      </w:r>
      <w:proofErr w:type="gramEnd"/>
      <w:r>
        <w:t xml:space="preserve"> </w:t>
      </w:r>
    </w:p>
    <w:p w:rsidR="001B580C" w:rsidRDefault="001C3B47" w:rsidP="001C3B47">
      <w:pPr>
        <w:pStyle w:val="BodyText"/>
      </w:pPr>
      <w:r>
        <w:t>T</w:t>
      </w:r>
      <w:r w:rsidR="005040F2">
        <w:t xml:space="preserve">his Commission is an administrative agency </w:t>
      </w:r>
      <w:r>
        <w:t>and</w:t>
      </w:r>
      <w:r w:rsidR="005040F2">
        <w:t xml:space="preserve"> </w:t>
      </w:r>
      <w:r>
        <w:t>i</w:t>
      </w:r>
      <w:r w:rsidR="005040F2">
        <w:t>ts powers and duties are limited to th</w:t>
      </w:r>
      <w:r>
        <w:t>ose</w:t>
      </w:r>
      <w:r w:rsidR="005040F2">
        <w:t xml:space="preserve"> expressly conferred upon it</w:t>
      </w:r>
      <w:r w:rsidR="005A08B6">
        <w:t xml:space="preserve"> by statute</w:t>
      </w:r>
      <w:r w:rsidR="005040F2">
        <w:t xml:space="preserve"> and th</w:t>
      </w:r>
      <w:r>
        <w:t>ose</w:t>
      </w:r>
      <w:r w:rsidR="005040F2">
        <w:t xml:space="preserve"> implied </w:t>
      </w:r>
      <w:r>
        <w:t>powers</w:t>
      </w:r>
      <w:r w:rsidR="005040F2">
        <w:t xml:space="preserve"> </w:t>
      </w:r>
      <w:r w:rsidR="00DC477F">
        <w:t xml:space="preserve">reasonably </w:t>
      </w:r>
      <w:r w:rsidR="005040F2">
        <w:t>necessary to accomplish its</w:t>
      </w:r>
      <w:r w:rsidR="00DC477F">
        <w:t xml:space="preserve"> express </w:t>
      </w:r>
      <w:r w:rsidR="005040F2">
        <w:t>responsibilities.</w:t>
      </w:r>
      <w:r w:rsidR="005040F2">
        <w:rPr>
          <w:rStyle w:val="FootnoteReference"/>
        </w:rPr>
        <w:footnoteReference w:id="20"/>
      </w:r>
      <w:r w:rsidR="005040F2">
        <w:t xml:space="preserve">  </w:t>
      </w:r>
      <w:r w:rsidR="005A08B6">
        <w:t>In</w:t>
      </w:r>
      <w:r w:rsidR="00DE05AC">
        <w:t xml:space="preserve"> fixing water and sewer rates, the Commission </w:t>
      </w:r>
      <w:r w:rsidR="005A08B6">
        <w:t xml:space="preserve">has an express duty to establish </w:t>
      </w:r>
      <w:r w:rsidR="00DE05AC">
        <w:t>revenues at a level that will</w:t>
      </w:r>
      <w:r>
        <w:t xml:space="preserve"> “</w:t>
      </w:r>
      <w:r w:rsidR="00DE05AC">
        <w:t>permit the utility a reasonable opportunity to earn a reasonable return on its invested capital used an</w:t>
      </w:r>
      <w:r w:rsidR="00C325FC">
        <w:t>d</w:t>
      </w:r>
      <w:r w:rsidR="00DE05AC">
        <w:t xml:space="preserve"> useful in rendering service to the public over and above its reasonable and necessary operating expenses</w:t>
      </w:r>
      <w:r>
        <w:t>”</w:t>
      </w:r>
      <w:r w:rsidR="00DE05AC">
        <w:t xml:space="preserve"> and</w:t>
      </w:r>
      <w:r>
        <w:t xml:space="preserve"> “</w:t>
      </w:r>
      <w:r w:rsidR="00DE05AC">
        <w:t>preserve the financial integrity of the utility.</w:t>
      </w:r>
      <w:r>
        <w:t>”</w:t>
      </w:r>
      <w:r w:rsidR="00DE05AC">
        <w:rPr>
          <w:rStyle w:val="FootnoteReference"/>
        </w:rPr>
        <w:footnoteReference w:id="21"/>
      </w:r>
      <w:r>
        <w:t xml:space="preserve">  </w:t>
      </w:r>
    </w:p>
    <w:p w:rsidR="0063769F" w:rsidRDefault="0063769F" w:rsidP="001C3B47">
      <w:pPr>
        <w:pStyle w:val="BodyText"/>
      </w:pPr>
      <w:r>
        <w:t xml:space="preserve">In </w:t>
      </w:r>
      <w:r w:rsidR="001C3B47">
        <w:t xml:space="preserve">carrying out this </w:t>
      </w:r>
      <w:r w:rsidR="001B580C">
        <w:t>dut</w:t>
      </w:r>
      <w:r w:rsidR="001C3B47">
        <w:t>y,</w:t>
      </w:r>
      <w:r>
        <w:t xml:space="preserve"> the Commission may </w:t>
      </w:r>
      <w:r w:rsidR="001C3B47">
        <w:t xml:space="preserve">adopt </w:t>
      </w:r>
      <w:r>
        <w:t xml:space="preserve">a settlement agreement provided the </w:t>
      </w:r>
      <w:r w:rsidR="00D86696">
        <w:t>Commission’s decision is</w:t>
      </w:r>
      <w:r>
        <w:t xml:space="preserve"> supported by the evidentiary record and </w:t>
      </w:r>
      <w:r w:rsidR="004165BB">
        <w:t>consistent with the law.</w:t>
      </w:r>
      <w:r w:rsidR="00263970">
        <w:rPr>
          <w:rStyle w:val="FootnoteReference"/>
        </w:rPr>
        <w:footnoteReference w:id="22"/>
      </w:r>
      <w:r w:rsidR="001B580C">
        <w:t xml:space="preserve">  </w:t>
      </w:r>
      <w:r w:rsidR="00B24F91">
        <w:t xml:space="preserve">For a </w:t>
      </w:r>
      <w:r w:rsidR="001B580C" w:rsidRPr="00BE5F5F">
        <w:t>non-unanimous settlement</w:t>
      </w:r>
      <w:r w:rsidR="00B24F91">
        <w:t>,</w:t>
      </w:r>
      <w:r w:rsidR="001B580C" w:rsidRPr="00BE5F5F">
        <w:t xml:space="preserve"> the parties opposing </w:t>
      </w:r>
      <w:r w:rsidR="00B24F91">
        <w:t xml:space="preserve">a </w:t>
      </w:r>
      <w:r w:rsidR="001B580C" w:rsidRPr="00BE5F5F">
        <w:t xml:space="preserve">settlement </w:t>
      </w:r>
      <w:r w:rsidR="00B24F91">
        <w:t>must be given</w:t>
      </w:r>
      <w:r w:rsidR="001B580C" w:rsidRPr="00BE5F5F">
        <w:t xml:space="preserve"> an opportunity to be heard on their reasons for opposing the settlement;</w:t>
      </w:r>
      <w:bookmarkStart w:id="1" w:name="sp_999_3"/>
      <w:bookmarkStart w:id="2" w:name="SDU_3"/>
      <w:r w:rsidR="001B580C" w:rsidRPr="00BE5F5F">
        <w:t xml:space="preserve"> the matters contained in the settlement </w:t>
      </w:r>
      <w:r w:rsidR="00B24F91">
        <w:t>must be</w:t>
      </w:r>
      <w:r w:rsidR="00B24F91" w:rsidRPr="00BE5F5F">
        <w:t xml:space="preserve"> </w:t>
      </w:r>
      <w:r w:rsidR="001B580C" w:rsidRPr="00BE5F5F">
        <w:t xml:space="preserve">supported by a preponderance of the credible evidence; </w:t>
      </w:r>
      <w:r w:rsidR="001B580C" w:rsidRPr="00A772F3">
        <w:t xml:space="preserve">the settlement </w:t>
      </w:r>
      <w:r w:rsidR="00B24F91">
        <w:t>must be</w:t>
      </w:r>
      <w:r w:rsidR="00B24F91" w:rsidRPr="00A772F3">
        <w:t xml:space="preserve"> </w:t>
      </w:r>
      <w:r w:rsidR="001B580C" w:rsidRPr="00A772F3">
        <w:t>in accordance with applicable law</w:t>
      </w:r>
      <w:r w:rsidR="001B580C" w:rsidRPr="00BE5F5F">
        <w:t xml:space="preserve">; </w:t>
      </w:r>
      <w:r w:rsidR="001B580C" w:rsidRPr="00912B44">
        <w:t>the settlement</w:t>
      </w:r>
      <w:r w:rsidR="00B24F91">
        <w:t xml:space="preserve"> must</w:t>
      </w:r>
      <w:r w:rsidR="001B580C" w:rsidRPr="00912B44">
        <w:t xml:space="preserve"> result in just and reasonable rates</w:t>
      </w:r>
      <w:r w:rsidR="001B580C" w:rsidRPr="00BE5F5F">
        <w:t>; and</w:t>
      </w:r>
      <w:bookmarkEnd w:id="1"/>
      <w:bookmarkEnd w:id="2"/>
      <w:r w:rsidR="001B580C" w:rsidRPr="00BE5F5F">
        <w:t xml:space="preserve"> the results </w:t>
      </w:r>
      <w:r w:rsidR="00B24F91">
        <w:t>must be</w:t>
      </w:r>
      <w:r w:rsidR="00B24F91" w:rsidRPr="00BE5F5F">
        <w:t xml:space="preserve"> </w:t>
      </w:r>
      <w:r w:rsidR="001B580C" w:rsidRPr="00BE5F5F">
        <w:t>in the public interest, including the interest of those opposing the stipulation.</w:t>
      </w:r>
      <w:r w:rsidR="001B580C">
        <w:rPr>
          <w:rStyle w:val="FootnoteReference"/>
        </w:rPr>
        <w:footnoteReference w:id="23"/>
      </w:r>
    </w:p>
    <w:p w:rsidR="00B53E1E" w:rsidRDefault="00B24F91" w:rsidP="007136E0">
      <w:pPr>
        <w:pStyle w:val="BodyText"/>
      </w:pPr>
      <w:r>
        <w:t>The actions of Douglas in this matter raise serious questions</w:t>
      </w:r>
      <w:r w:rsidR="000B2E38">
        <w:t>.  P</w:t>
      </w:r>
      <w:r w:rsidR="009678EB">
        <w:t xml:space="preserve">ermitting a settlement signatory to </w:t>
      </w:r>
      <w:r w:rsidR="00920D0B">
        <w:t xml:space="preserve">unilaterally </w:t>
      </w:r>
      <w:r w:rsidR="009678EB">
        <w:t xml:space="preserve">withdraw from </w:t>
      </w:r>
      <w:r w:rsidR="00E54365">
        <w:t>the settlement</w:t>
      </w:r>
      <w:r w:rsidR="009678EB">
        <w:t xml:space="preserve"> </w:t>
      </w:r>
      <w:r w:rsidR="00920D0B">
        <w:t>runs the serious risk of subverting an integral purpose of settlement: timely resolution of controversies.</w:t>
      </w:r>
      <w:r w:rsidR="00897514">
        <w:t xml:space="preserve">  </w:t>
      </w:r>
      <w:r w:rsidR="006D4ACB">
        <w:t>Allow</w:t>
      </w:r>
      <w:r w:rsidR="00897514">
        <w:t xml:space="preserve">ing such withdrawal could </w:t>
      </w:r>
      <w:r>
        <w:t>hinder settlements because</w:t>
      </w:r>
      <w:r w:rsidR="00897514">
        <w:t xml:space="preserve"> parties might be less willing to engage in settlement </w:t>
      </w:r>
      <w:r w:rsidR="00897514">
        <w:lastRenderedPageBreak/>
        <w:t>negotiations for fear of the negotiations serving as undercover fishing expeditions or vehicles for delay.</w:t>
      </w:r>
      <w:r w:rsidR="008F4AFA">
        <w:t xml:space="preserve">  On the other hand, </w:t>
      </w:r>
      <w:r w:rsidR="0056743A">
        <w:t xml:space="preserve">Douglas has asserted that the </w:t>
      </w:r>
      <w:r w:rsidR="00EF348F">
        <w:t>settlement-</w:t>
      </w:r>
      <w:r w:rsidR="00B53E1E">
        <w:t>agreement</w:t>
      </w:r>
      <w:r w:rsidR="0056743A">
        <w:t xml:space="preserve"> </w:t>
      </w:r>
      <w:r w:rsidR="00B53E1E">
        <w:t>rates would result in a negative cash flow for the utility</w:t>
      </w:r>
      <w:r w:rsidR="005B62C6">
        <w:t>.</w:t>
      </w:r>
      <w:r w:rsidR="005B62C6">
        <w:rPr>
          <w:rStyle w:val="FootnoteReference"/>
        </w:rPr>
        <w:footnoteReference w:id="24"/>
      </w:r>
      <w:r w:rsidR="00B53E1E">
        <w:t xml:space="preserve">  If true,</w:t>
      </w:r>
      <w:r w:rsidR="008272CB">
        <w:t xml:space="preserve"> </w:t>
      </w:r>
      <w:r w:rsidR="00EF348F">
        <w:t>those</w:t>
      </w:r>
      <w:r w:rsidR="008272CB">
        <w:t xml:space="preserve"> rates would not provide a reasonable opportunity </w:t>
      </w:r>
      <w:r w:rsidR="00EF348F">
        <w:t xml:space="preserve">to earn </w:t>
      </w:r>
      <w:r w:rsidR="008272CB">
        <w:t>a reasonable return on Douglas’s invested capital</w:t>
      </w:r>
      <w:r w:rsidR="00EF348F">
        <w:t>, would not allow Douglas to cover its operating expenses, and</w:t>
      </w:r>
      <w:r w:rsidR="008272CB">
        <w:t xml:space="preserve"> </w:t>
      </w:r>
      <w:r w:rsidR="00EF348F">
        <w:t>might not</w:t>
      </w:r>
      <w:r w:rsidR="008272CB">
        <w:t xml:space="preserve"> preserve Douglas’s financial integrity.  The Commission may not adopt</w:t>
      </w:r>
      <w:r w:rsidR="00EF348F">
        <w:t xml:space="preserve"> a settlement agreement with such</w:t>
      </w:r>
      <w:r w:rsidR="008272CB">
        <w:t xml:space="preserve"> rates </w:t>
      </w:r>
      <w:r w:rsidR="00EF348F">
        <w:t xml:space="preserve">because </w:t>
      </w:r>
      <w:r w:rsidR="008F4AFA">
        <w:t>the agreement</w:t>
      </w:r>
      <w:r w:rsidR="00EF348F">
        <w:t xml:space="preserve"> would not be in accordance with applicable law</w:t>
      </w:r>
      <w:r w:rsidR="008272CB">
        <w:t>.</w:t>
      </w:r>
      <w:r w:rsidR="0098626A">
        <w:rPr>
          <w:rStyle w:val="FootnoteReference"/>
        </w:rPr>
        <w:footnoteReference w:id="25"/>
      </w:r>
    </w:p>
    <w:p w:rsidR="00912B44" w:rsidRDefault="00EF348F" w:rsidP="007136E0">
      <w:pPr>
        <w:pStyle w:val="BodyText"/>
      </w:pPr>
      <w:r>
        <w:t>However, the assertions of Douglas remain just that; there is no evidence in this case that would allow the ALJ or this Commission to conclude that the rates in the settlement agreement put Douglas in a negative cash-flow position.</w:t>
      </w:r>
      <w:r w:rsidR="00CE2433">
        <w:t xml:space="preserve">  </w:t>
      </w:r>
      <w:r w:rsidR="00253B08">
        <w:t xml:space="preserve">Therefore, the Commission determines it is appropriate for </w:t>
      </w:r>
      <w:r w:rsidR="00987CF4">
        <w:t xml:space="preserve">SOAH to hold </w:t>
      </w:r>
      <w:r w:rsidR="00253B08">
        <w:t xml:space="preserve">a limited hearing </w:t>
      </w:r>
      <w:r w:rsidR="00987CF4">
        <w:t xml:space="preserve">to </w:t>
      </w:r>
      <w:r w:rsidR="00B818C6">
        <w:t xml:space="preserve">develop an evidentiary record </w:t>
      </w:r>
      <w:r w:rsidR="00CE2433">
        <w:t>and prepare a proposal for decision on</w:t>
      </w:r>
      <w:r w:rsidR="00987CF4">
        <w:t xml:space="preserve"> whether or not the settlement agreement </w:t>
      </w:r>
      <w:r w:rsidR="00CE2433">
        <w:t>contains</w:t>
      </w:r>
      <w:r w:rsidR="00987CF4">
        <w:t xml:space="preserve"> rates </w:t>
      </w:r>
      <w:r w:rsidR="00B818C6">
        <w:t xml:space="preserve">that </w:t>
      </w:r>
      <w:r w:rsidR="00987CF4">
        <w:t>violat</w:t>
      </w:r>
      <w:r w:rsidR="00B818C6">
        <w:t>e</w:t>
      </w:r>
      <w:r w:rsidR="00987CF4">
        <w:t xml:space="preserve"> TWC </w:t>
      </w:r>
      <w:r w:rsidR="00CE2433">
        <w:t>§ </w:t>
      </w:r>
      <w:r w:rsidR="00987CF4">
        <w:t>13.183(a).</w:t>
      </w:r>
      <w:r w:rsidR="007136E0">
        <w:t xml:space="preserve">  </w:t>
      </w:r>
      <w:r w:rsidR="008F4AFA">
        <w:t xml:space="preserve">The Commission also concludes that </w:t>
      </w:r>
      <w:r w:rsidR="007136E0">
        <w:t>Douglas, the utility</w:t>
      </w:r>
      <w:r w:rsidR="008F4AFA">
        <w:t xml:space="preserve"> and proponent of this proposition</w:t>
      </w:r>
      <w:r w:rsidR="007136E0">
        <w:t xml:space="preserve">, </w:t>
      </w:r>
      <w:r w:rsidR="008F4AFA">
        <w:t>should bear</w:t>
      </w:r>
      <w:r w:rsidR="007136E0">
        <w:t xml:space="preserve"> the burden of proof.</w:t>
      </w:r>
      <w:r w:rsidR="007136E0">
        <w:rPr>
          <w:rStyle w:val="FootnoteReference"/>
        </w:rPr>
        <w:footnoteReference w:id="26"/>
      </w:r>
      <w:r w:rsidR="00463C89">
        <w:t xml:space="preserve">  </w:t>
      </w:r>
    </w:p>
    <w:p w:rsidR="00912B44" w:rsidRPr="00783E65" w:rsidRDefault="00912B44" w:rsidP="00516C34">
      <w:pPr>
        <w:pStyle w:val="BodyText"/>
      </w:pPr>
      <w:r>
        <w:t>If</w:t>
      </w:r>
      <w:r w:rsidR="00CE2433">
        <w:t xml:space="preserve"> after hearing</w:t>
      </w:r>
      <w:r>
        <w:t xml:space="preserve"> </w:t>
      </w:r>
      <w:r w:rsidR="008F4AFA">
        <w:t>the Commission</w:t>
      </w:r>
      <w:r w:rsidR="00CE2433">
        <w:t xml:space="preserve"> determine</w:t>
      </w:r>
      <w:r w:rsidR="008F4AFA">
        <w:t>s</w:t>
      </w:r>
      <w:r w:rsidR="00CE2433">
        <w:t xml:space="preserve"> that</w:t>
      </w:r>
      <w:r>
        <w:t xml:space="preserve"> the settlement rates </w:t>
      </w:r>
      <w:r w:rsidR="008F4AFA">
        <w:t>violate</w:t>
      </w:r>
      <w:r>
        <w:t xml:space="preserve"> </w:t>
      </w:r>
      <w:r w:rsidR="00516C34">
        <w:br/>
      </w:r>
      <w:r>
        <w:t xml:space="preserve">TWC </w:t>
      </w:r>
      <w:r w:rsidR="00CE2433">
        <w:t>§ </w:t>
      </w:r>
      <w:r>
        <w:t xml:space="preserve">13.183(a), this matter </w:t>
      </w:r>
      <w:r w:rsidR="00CE2433">
        <w:t xml:space="preserve">will have to </w:t>
      </w:r>
      <w:r>
        <w:t xml:space="preserve">proceed to a hearing to establish </w:t>
      </w:r>
      <w:r w:rsidR="00CE2433">
        <w:t xml:space="preserve">appropriate </w:t>
      </w:r>
      <w:r>
        <w:t>rates for Douglas.</w:t>
      </w:r>
      <w:r w:rsidR="008F4AFA">
        <w:t xml:space="preserve">  In that case, the Commission will remand the matter to SOAH and issue a preliminary order.</w:t>
      </w:r>
      <w:r>
        <w:t xml:space="preserve">  If</w:t>
      </w:r>
      <w:r w:rsidR="008F4AFA">
        <w:t xml:space="preserve"> the Commission</w:t>
      </w:r>
      <w:r w:rsidR="00CE2433">
        <w:t xml:space="preserve"> determine</w:t>
      </w:r>
      <w:r w:rsidR="008F4AFA">
        <w:t xml:space="preserve">s that the settled rates are </w:t>
      </w:r>
      <w:r w:rsidR="00CE2433">
        <w:t xml:space="preserve">in accordance with </w:t>
      </w:r>
      <w:r w:rsidR="00516C34">
        <w:br/>
      </w:r>
      <w:r w:rsidR="00CE2433">
        <w:t>TWC § 13.183(a)</w:t>
      </w:r>
      <w:r>
        <w:t>,</w:t>
      </w:r>
      <w:r w:rsidR="00CE2433">
        <w:t xml:space="preserve"> the Commission will then address the settlement agreement.</w:t>
      </w:r>
      <w:r>
        <w:t xml:space="preserve"> </w:t>
      </w:r>
    </w:p>
    <w:p w:rsidR="00967322" w:rsidRPr="00987CF4" w:rsidRDefault="00967322" w:rsidP="001A48B9">
      <w:pPr>
        <w:pStyle w:val="BodyText"/>
        <w:keepNext/>
        <w:spacing w:before="240"/>
        <w:rPr>
          <w:b/>
        </w:rPr>
      </w:pPr>
      <w:r w:rsidRPr="00987CF4">
        <w:rPr>
          <w:b/>
        </w:rPr>
        <w:lastRenderedPageBreak/>
        <w:t xml:space="preserve">SIGNED AT AUSTIN, TEXAS the </w:t>
      </w:r>
      <w:r w:rsidRPr="00987CF4">
        <w:t xml:space="preserve">______ </w:t>
      </w:r>
      <w:r w:rsidRPr="00987CF4">
        <w:rPr>
          <w:b/>
        </w:rPr>
        <w:t xml:space="preserve">day of </w:t>
      </w:r>
      <w:r w:rsidR="00987CF4">
        <w:rPr>
          <w:b/>
        </w:rPr>
        <w:t>October,</w:t>
      </w:r>
      <w:r w:rsidRPr="00987CF4">
        <w:rPr>
          <w:b/>
        </w:rPr>
        <w:t xml:space="preserve"> 20</w:t>
      </w:r>
      <w:r w:rsidR="00987CF4">
        <w:rPr>
          <w:b/>
        </w:rPr>
        <w:t>14</w:t>
      </w:r>
    </w:p>
    <w:p w:rsidR="00967322" w:rsidRPr="00987CF4" w:rsidRDefault="00967322">
      <w:pPr>
        <w:keepNext/>
        <w:tabs>
          <w:tab w:val="left" w:pos="3600"/>
        </w:tabs>
      </w:pPr>
    </w:p>
    <w:p w:rsidR="008F66B2" w:rsidRPr="00987CF4" w:rsidRDefault="008F66B2" w:rsidP="00F46A0E">
      <w:pPr>
        <w:pStyle w:val="BodyText"/>
        <w:keepNext/>
        <w:ind w:left="2880" w:firstLine="0"/>
        <w:rPr>
          <w:b/>
          <w:szCs w:val="24"/>
        </w:rPr>
      </w:pPr>
      <w:r w:rsidRPr="00987CF4">
        <w:rPr>
          <w:b/>
        </w:rPr>
        <w:t>PUBLIC UTILITY COMMISSION OF TEXAS</w:t>
      </w:r>
    </w:p>
    <w:p w:rsidR="008F66B2" w:rsidRPr="00987CF4" w:rsidRDefault="008F66B2" w:rsidP="008F66B2">
      <w:pPr>
        <w:keepNext/>
        <w:tabs>
          <w:tab w:val="left" w:pos="2880"/>
          <w:tab w:val="left" w:pos="8640"/>
        </w:tabs>
        <w:rPr>
          <w:b/>
          <w:szCs w:val="24"/>
        </w:rPr>
      </w:pPr>
    </w:p>
    <w:p w:rsidR="00FD6764" w:rsidRPr="00987CF4" w:rsidRDefault="00FD6764" w:rsidP="008F66B2">
      <w:pPr>
        <w:keepNext/>
        <w:tabs>
          <w:tab w:val="left" w:pos="2880"/>
          <w:tab w:val="left" w:pos="8640"/>
        </w:tabs>
        <w:rPr>
          <w:b/>
          <w:szCs w:val="24"/>
        </w:rPr>
      </w:pPr>
    </w:p>
    <w:p w:rsidR="001F7869" w:rsidRPr="00987CF4" w:rsidRDefault="001F7869" w:rsidP="008F66B2">
      <w:pPr>
        <w:keepNext/>
        <w:tabs>
          <w:tab w:val="left" w:pos="2880"/>
          <w:tab w:val="left" w:pos="8640"/>
        </w:tabs>
        <w:rPr>
          <w:b/>
          <w:szCs w:val="24"/>
        </w:rPr>
      </w:pPr>
    </w:p>
    <w:p w:rsidR="008F66B2" w:rsidRPr="00987CF4" w:rsidRDefault="00FD6764" w:rsidP="00F46A0E">
      <w:pPr>
        <w:keepNext/>
        <w:tabs>
          <w:tab w:val="left" w:pos="2880"/>
          <w:tab w:val="left" w:pos="8370"/>
        </w:tabs>
        <w:rPr>
          <w:b/>
          <w:szCs w:val="24"/>
        </w:rPr>
      </w:pPr>
      <w:r w:rsidRPr="00987CF4">
        <w:rPr>
          <w:b/>
          <w:szCs w:val="24"/>
        </w:rPr>
        <w:tab/>
      </w:r>
      <w:r w:rsidR="008F66B2" w:rsidRPr="00987CF4">
        <w:rPr>
          <w:b/>
          <w:szCs w:val="24"/>
          <w:u w:val="single"/>
        </w:rPr>
        <w:tab/>
      </w:r>
    </w:p>
    <w:p w:rsidR="008F66B2" w:rsidRPr="00987CF4" w:rsidRDefault="008F66B2" w:rsidP="008F66B2">
      <w:pPr>
        <w:keepNext/>
        <w:tabs>
          <w:tab w:val="left" w:pos="2880"/>
          <w:tab w:val="left" w:pos="8640"/>
        </w:tabs>
        <w:rPr>
          <w:b/>
          <w:szCs w:val="24"/>
        </w:rPr>
      </w:pPr>
      <w:r w:rsidRPr="00987CF4">
        <w:rPr>
          <w:b/>
          <w:szCs w:val="24"/>
        </w:rPr>
        <w:tab/>
      </w:r>
      <w:r w:rsidR="002868A2" w:rsidRPr="00987CF4">
        <w:rPr>
          <w:b/>
          <w:szCs w:val="24"/>
        </w:rPr>
        <w:t>DONNA L. NELSON</w:t>
      </w:r>
      <w:r w:rsidR="00680DE9" w:rsidRPr="00987CF4">
        <w:rPr>
          <w:b/>
          <w:szCs w:val="24"/>
        </w:rPr>
        <w:t>, CHAIRMAN</w:t>
      </w:r>
    </w:p>
    <w:p w:rsidR="008F66B2" w:rsidRPr="00987CF4" w:rsidRDefault="008F66B2" w:rsidP="008F66B2">
      <w:pPr>
        <w:keepNext/>
        <w:tabs>
          <w:tab w:val="left" w:pos="2880"/>
          <w:tab w:val="left" w:pos="8640"/>
        </w:tabs>
        <w:rPr>
          <w:b/>
          <w:szCs w:val="24"/>
        </w:rPr>
      </w:pPr>
    </w:p>
    <w:p w:rsidR="008F66B2" w:rsidRPr="00987CF4" w:rsidRDefault="008F66B2" w:rsidP="008F66B2">
      <w:pPr>
        <w:keepNext/>
        <w:tabs>
          <w:tab w:val="left" w:pos="2880"/>
          <w:tab w:val="left" w:pos="8640"/>
        </w:tabs>
        <w:rPr>
          <w:b/>
          <w:szCs w:val="24"/>
        </w:rPr>
      </w:pPr>
    </w:p>
    <w:p w:rsidR="008F66B2" w:rsidRPr="00987CF4" w:rsidRDefault="008F66B2" w:rsidP="008F66B2">
      <w:pPr>
        <w:keepNext/>
        <w:tabs>
          <w:tab w:val="left" w:pos="2880"/>
          <w:tab w:val="left" w:pos="8640"/>
        </w:tabs>
        <w:rPr>
          <w:b/>
          <w:szCs w:val="24"/>
        </w:rPr>
      </w:pPr>
    </w:p>
    <w:p w:rsidR="008F66B2" w:rsidRPr="00987CF4" w:rsidRDefault="008F66B2" w:rsidP="00F46A0E">
      <w:pPr>
        <w:keepNext/>
        <w:tabs>
          <w:tab w:val="left" w:pos="2880"/>
          <w:tab w:val="left" w:pos="8370"/>
        </w:tabs>
        <w:rPr>
          <w:b/>
          <w:szCs w:val="24"/>
        </w:rPr>
      </w:pPr>
      <w:r w:rsidRPr="00987CF4">
        <w:rPr>
          <w:b/>
          <w:szCs w:val="24"/>
        </w:rPr>
        <w:tab/>
      </w:r>
      <w:r w:rsidRPr="00987CF4">
        <w:rPr>
          <w:b/>
          <w:szCs w:val="24"/>
          <w:u w:val="single"/>
        </w:rPr>
        <w:tab/>
      </w:r>
    </w:p>
    <w:p w:rsidR="008F66B2" w:rsidRPr="00987CF4" w:rsidRDefault="008F66B2" w:rsidP="008F66B2">
      <w:pPr>
        <w:keepNext/>
        <w:tabs>
          <w:tab w:val="left" w:pos="2880"/>
          <w:tab w:val="left" w:pos="8640"/>
        </w:tabs>
        <w:rPr>
          <w:b/>
          <w:szCs w:val="24"/>
        </w:rPr>
      </w:pPr>
      <w:r w:rsidRPr="00987CF4">
        <w:rPr>
          <w:b/>
          <w:szCs w:val="24"/>
        </w:rPr>
        <w:tab/>
      </w:r>
      <w:r w:rsidR="002A1501" w:rsidRPr="00987CF4">
        <w:rPr>
          <w:b/>
          <w:szCs w:val="24"/>
        </w:rPr>
        <w:t>KENNETH W. ANDERSON, JR.</w:t>
      </w:r>
      <w:r w:rsidR="00C36161" w:rsidRPr="00987CF4">
        <w:rPr>
          <w:b/>
          <w:szCs w:val="24"/>
        </w:rPr>
        <w:t>, COMMISSIONER</w:t>
      </w:r>
    </w:p>
    <w:p w:rsidR="00F46A0E" w:rsidRPr="00987CF4" w:rsidRDefault="00F46A0E" w:rsidP="008F66B2">
      <w:pPr>
        <w:keepNext/>
        <w:tabs>
          <w:tab w:val="left" w:pos="2880"/>
          <w:tab w:val="left" w:pos="8640"/>
        </w:tabs>
        <w:rPr>
          <w:b/>
          <w:szCs w:val="24"/>
        </w:rPr>
      </w:pPr>
    </w:p>
    <w:p w:rsidR="00F46A0E" w:rsidRPr="00987CF4" w:rsidRDefault="00F46A0E" w:rsidP="00F46A0E">
      <w:pPr>
        <w:keepNext/>
        <w:tabs>
          <w:tab w:val="left" w:pos="2880"/>
          <w:tab w:val="left" w:pos="8640"/>
        </w:tabs>
        <w:rPr>
          <w:b/>
          <w:szCs w:val="24"/>
        </w:rPr>
      </w:pPr>
    </w:p>
    <w:p w:rsidR="00F46A0E" w:rsidRPr="00987CF4" w:rsidRDefault="00F46A0E" w:rsidP="00F46A0E">
      <w:pPr>
        <w:keepNext/>
        <w:tabs>
          <w:tab w:val="left" w:pos="2880"/>
          <w:tab w:val="left" w:pos="8640"/>
        </w:tabs>
        <w:rPr>
          <w:b/>
          <w:szCs w:val="24"/>
        </w:rPr>
      </w:pPr>
    </w:p>
    <w:p w:rsidR="00F46A0E" w:rsidRPr="00987CF4" w:rsidRDefault="00F46A0E" w:rsidP="00F46A0E">
      <w:pPr>
        <w:keepNext/>
        <w:tabs>
          <w:tab w:val="left" w:pos="2880"/>
          <w:tab w:val="left" w:pos="8370"/>
        </w:tabs>
        <w:rPr>
          <w:b/>
          <w:szCs w:val="24"/>
        </w:rPr>
      </w:pPr>
      <w:r w:rsidRPr="00987CF4">
        <w:rPr>
          <w:b/>
          <w:szCs w:val="24"/>
        </w:rPr>
        <w:tab/>
      </w:r>
      <w:r w:rsidRPr="00987CF4">
        <w:rPr>
          <w:b/>
          <w:szCs w:val="24"/>
          <w:u w:val="single"/>
        </w:rPr>
        <w:tab/>
      </w:r>
    </w:p>
    <w:p w:rsidR="00F46A0E" w:rsidRPr="00987CF4" w:rsidRDefault="00F46A0E" w:rsidP="00F46A0E">
      <w:pPr>
        <w:keepNext/>
        <w:tabs>
          <w:tab w:val="left" w:pos="2880"/>
          <w:tab w:val="left" w:pos="8640"/>
        </w:tabs>
        <w:rPr>
          <w:b/>
          <w:szCs w:val="24"/>
        </w:rPr>
      </w:pPr>
      <w:r w:rsidRPr="00987CF4">
        <w:rPr>
          <w:b/>
          <w:szCs w:val="24"/>
        </w:rPr>
        <w:tab/>
      </w:r>
      <w:r w:rsidR="0010502B" w:rsidRPr="00987CF4">
        <w:rPr>
          <w:b/>
          <w:szCs w:val="24"/>
        </w:rPr>
        <w:t>BRANDY D. MARTY</w:t>
      </w:r>
      <w:r w:rsidRPr="00987CF4">
        <w:rPr>
          <w:b/>
          <w:szCs w:val="24"/>
        </w:rPr>
        <w:t>, COMMISSIONER</w:t>
      </w:r>
    </w:p>
    <w:p w:rsidR="008F66B2" w:rsidRPr="001A48B9" w:rsidRDefault="008F66B2">
      <w:pPr>
        <w:keepNext/>
        <w:rPr>
          <w:sz w:val="16"/>
        </w:rPr>
      </w:pPr>
    </w:p>
    <w:p w:rsidR="008F66B2" w:rsidRDefault="008F66B2">
      <w:pPr>
        <w:keepNext/>
        <w:rPr>
          <w:sz w:val="16"/>
        </w:rPr>
      </w:pPr>
    </w:p>
    <w:p w:rsidR="001A48B9" w:rsidRDefault="001A48B9">
      <w:pPr>
        <w:keepNext/>
        <w:rPr>
          <w:sz w:val="16"/>
        </w:rPr>
      </w:pPr>
    </w:p>
    <w:p w:rsidR="001A48B9" w:rsidRDefault="001A48B9">
      <w:pPr>
        <w:keepNext/>
        <w:rPr>
          <w:sz w:val="16"/>
        </w:rPr>
      </w:pPr>
    </w:p>
    <w:p w:rsidR="001A48B9" w:rsidRDefault="001A48B9">
      <w:pPr>
        <w:keepNext/>
        <w:rPr>
          <w:sz w:val="16"/>
        </w:rPr>
      </w:pPr>
    </w:p>
    <w:p w:rsidR="001A48B9" w:rsidRDefault="001A48B9">
      <w:pPr>
        <w:keepNext/>
        <w:rPr>
          <w:sz w:val="16"/>
        </w:rPr>
      </w:pPr>
    </w:p>
    <w:p w:rsidR="001A48B9" w:rsidRDefault="001A48B9">
      <w:pPr>
        <w:keepNext/>
        <w:rPr>
          <w:sz w:val="16"/>
        </w:rPr>
      </w:pPr>
    </w:p>
    <w:p w:rsidR="001A48B9" w:rsidRDefault="001A48B9">
      <w:pPr>
        <w:keepNext/>
        <w:rPr>
          <w:sz w:val="16"/>
        </w:rPr>
      </w:pPr>
    </w:p>
    <w:p w:rsidR="001A48B9" w:rsidRDefault="001A48B9">
      <w:pPr>
        <w:keepNext/>
        <w:rPr>
          <w:sz w:val="16"/>
        </w:rPr>
      </w:pPr>
    </w:p>
    <w:p w:rsidR="001A48B9" w:rsidRDefault="001A48B9">
      <w:pPr>
        <w:keepNext/>
        <w:rPr>
          <w:sz w:val="16"/>
        </w:rPr>
      </w:pPr>
    </w:p>
    <w:p w:rsidR="001A48B9" w:rsidRDefault="001A48B9">
      <w:pPr>
        <w:keepNext/>
        <w:rPr>
          <w:sz w:val="16"/>
        </w:rPr>
      </w:pPr>
    </w:p>
    <w:p w:rsidR="001A48B9" w:rsidRPr="001A48B9" w:rsidRDefault="001A48B9">
      <w:pPr>
        <w:keepNext/>
        <w:rPr>
          <w:sz w:val="16"/>
        </w:rPr>
      </w:pPr>
    </w:p>
    <w:p w:rsidR="008F66B2" w:rsidRPr="001A48B9" w:rsidRDefault="008F66B2">
      <w:pPr>
        <w:keepNext/>
        <w:rPr>
          <w:sz w:val="16"/>
        </w:rPr>
      </w:pPr>
    </w:p>
    <w:p w:rsidR="000B2E38" w:rsidRPr="001A48B9" w:rsidRDefault="00967322" w:rsidP="00766E42">
      <w:r w:rsidRPr="001A48B9">
        <w:rPr>
          <w:sz w:val="16"/>
        </w:rPr>
        <w:fldChar w:fldCharType="begin"/>
      </w:r>
      <w:r w:rsidRPr="001A48B9">
        <w:rPr>
          <w:sz w:val="16"/>
        </w:rPr>
        <w:instrText xml:space="preserve"> FILENAME \* Lower\p \* MERGEFORMAT </w:instrText>
      </w:r>
      <w:r w:rsidRPr="001A48B9">
        <w:rPr>
          <w:sz w:val="16"/>
        </w:rPr>
        <w:fldChar w:fldCharType="separate"/>
      </w:r>
      <w:r w:rsidR="004D083A" w:rsidRPr="001A48B9">
        <w:rPr>
          <w:noProof/>
          <w:sz w:val="16"/>
        </w:rPr>
        <w:t>q:\cadm\orders\interim\42000\42860 appo3.docx</w:t>
      </w:r>
      <w:r w:rsidRPr="001A48B9">
        <w:rPr>
          <w:sz w:val="16"/>
        </w:rPr>
        <w:fldChar w:fldCharType="end"/>
      </w:r>
      <w:r w:rsidR="00AD3AF7" w:rsidRPr="001A48B9">
        <w:rPr>
          <w:sz w:val="16"/>
        </w:rPr>
        <w:t xml:space="preserve">  </w:t>
      </w:r>
    </w:p>
    <w:sectPr w:rsidR="000B2E38" w:rsidRPr="001A48B9" w:rsidSect="001F7869">
      <w:head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1E93" w:rsidRDefault="00D81E93">
      <w:r>
        <w:separator/>
      </w:r>
    </w:p>
  </w:endnote>
  <w:endnote w:type="continuationSeparator" w:id="0">
    <w:p w:rsidR="00D81E93" w:rsidRDefault="00D81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1E93" w:rsidRDefault="00D81E93">
      <w:r>
        <w:separator/>
      </w:r>
    </w:p>
  </w:footnote>
  <w:footnote w:type="continuationSeparator" w:id="0">
    <w:p w:rsidR="00D81E93" w:rsidRDefault="00D81E93">
      <w:r>
        <w:continuationSeparator/>
      </w:r>
    </w:p>
  </w:footnote>
  <w:footnote w:id="1">
    <w:p w:rsidR="00392873" w:rsidRDefault="00392873">
      <w:pPr>
        <w:pStyle w:val="FootnoteText"/>
      </w:pPr>
      <w:r w:rsidRPr="00E924E7">
        <w:rPr>
          <w:rStyle w:val="FootnoteReference"/>
        </w:rPr>
        <w:footnoteRef/>
      </w:r>
      <w:r w:rsidRPr="00E924E7">
        <w:t xml:space="preserve">  Rate/Tariff Change Application of Douglas Utility Company </w:t>
      </w:r>
      <w:r w:rsidR="004552FC" w:rsidRPr="00E924E7">
        <w:t xml:space="preserve">(Mar. 12, 2013) </w:t>
      </w:r>
      <w:r w:rsidRPr="00A772F3">
        <w:t>(</w:t>
      </w:r>
      <w:r w:rsidR="003B723B">
        <w:t>filed in this docket on</w:t>
      </w:r>
      <w:r w:rsidRPr="00A772F3">
        <w:t xml:space="preserve"> Sep. 23, 2014</w:t>
      </w:r>
      <w:r w:rsidR="003B723B">
        <w:t xml:space="preserve"> as item 41</w:t>
      </w:r>
      <w:r w:rsidRPr="00A772F3">
        <w:t>).</w:t>
      </w:r>
    </w:p>
  </w:footnote>
  <w:footnote w:id="2">
    <w:p w:rsidR="00BF5BA2" w:rsidRDefault="00BF5BA2">
      <w:pPr>
        <w:pStyle w:val="FootnoteText"/>
      </w:pPr>
      <w:r>
        <w:rPr>
          <w:rStyle w:val="FootnoteReference"/>
        </w:rPr>
        <w:footnoteRef/>
      </w:r>
      <w:r>
        <w:t xml:space="preserve">  Executive </w:t>
      </w:r>
      <w:r w:rsidR="001C3B47">
        <w:t>D</w:t>
      </w:r>
      <w:r>
        <w:t>irector of the Texas Commission on Environmental Quality’s Motion to Dismiss and Remand at 1</w:t>
      </w:r>
      <w:r w:rsidR="0014411A">
        <w:t xml:space="preserve"> (July 30, 2104)</w:t>
      </w:r>
      <w:r>
        <w:t xml:space="preserve"> </w:t>
      </w:r>
      <w:r w:rsidR="0014411A" w:rsidRPr="00A772F3">
        <w:t>(</w:t>
      </w:r>
      <w:r w:rsidR="003B723B">
        <w:t>filed in this docket on</w:t>
      </w:r>
      <w:r w:rsidR="0014411A" w:rsidRPr="00A772F3">
        <w:t xml:space="preserve"> Sep. 4, 2014</w:t>
      </w:r>
      <w:r w:rsidR="003B723B">
        <w:t xml:space="preserve"> as item 21</w:t>
      </w:r>
      <w:r w:rsidR="0014411A" w:rsidRPr="00A772F3">
        <w:t>).</w:t>
      </w:r>
    </w:p>
  </w:footnote>
  <w:footnote w:id="3">
    <w:p w:rsidR="00392873" w:rsidRPr="00BF5BA2" w:rsidRDefault="00392873">
      <w:pPr>
        <w:pStyle w:val="FootnoteText"/>
      </w:pPr>
      <w:r>
        <w:rPr>
          <w:rStyle w:val="FootnoteReference"/>
        </w:rPr>
        <w:footnoteRef/>
      </w:r>
      <w:r>
        <w:t xml:space="preserve"> </w:t>
      </w:r>
      <w:r w:rsidR="00BF5BA2">
        <w:t xml:space="preserve"> </w:t>
      </w:r>
      <w:r w:rsidR="00BF5BA2">
        <w:rPr>
          <w:i/>
        </w:rPr>
        <w:t>Id</w:t>
      </w:r>
      <w:r w:rsidR="00BF5BA2">
        <w:t>.</w:t>
      </w:r>
    </w:p>
  </w:footnote>
  <w:footnote w:id="4">
    <w:p w:rsidR="00BF5BA2" w:rsidRPr="003B723B" w:rsidRDefault="00BF5BA2" w:rsidP="00BF5BA2">
      <w:pPr>
        <w:pStyle w:val="FootnoteText"/>
      </w:pPr>
      <w:r>
        <w:rPr>
          <w:rStyle w:val="FootnoteReference"/>
        </w:rPr>
        <w:footnoteRef/>
      </w:r>
      <w:r>
        <w:t xml:space="preserve">  </w:t>
      </w:r>
      <w:r w:rsidRPr="003B723B">
        <w:t xml:space="preserve">Douglas’s Response to Motion to Dismiss and Remand at 1 </w:t>
      </w:r>
      <w:r w:rsidR="0014411A" w:rsidRPr="003B723B">
        <w:t xml:space="preserve">(July 31, 2014) </w:t>
      </w:r>
      <w:r w:rsidR="0014411A" w:rsidRPr="00A772F3">
        <w:t>(</w:t>
      </w:r>
      <w:r w:rsidR="003B723B">
        <w:t>filed in this docket on</w:t>
      </w:r>
      <w:r w:rsidR="0014411A" w:rsidRPr="00A772F3">
        <w:t xml:space="preserve"> Sep. 4, 2014</w:t>
      </w:r>
      <w:r w:rsidR="003B723B">
        <w:t xml:space="preserve"> as item 22</w:t>
      </w:r>
      <w:r w:rsidR="0014411A" w:rsidRPr="00A772F3">
        <w:t>).</w:t>
      </w:r>
      <w:r w:rsidRPr="003B723B">
        <w:t xml:space="preserve"> </w:t>
      </w:r>
    </w:p>
  </w:footnote>
  <w:footnote w:id="5">
    <w:p w:rsidR="00BF5BA2" w:rsidRPr="003B723B" w:rsidRDefault="00BF5BA2">
      <w:pPr>
        <w:pStyle w:val="FootnoteText"/>
      </w:pPr>
      <w:r w:rsidRPr="003B723B">
        <w:rPr>
          <w:rStyle w:val="FootnoteReference"/>
        </w:rPr>
        <w:footnoteRef/>
      </w:r>
      <w:r w:rsidRPr="003B723B">
        <w:t xml:space="preserve"> </w:t>
      </w:r>
      <w:r w:rsidR="00931D0B" w:rsidRPr="003B723B">
        <w:t xml:space="preserve"> </w:t>
      </w:r>
      <w:r w:rsidRPr="003B723B">
        <w:t>Equality’s Response Motion to Dismiss and Remand</w:t>
      </w:r>
      <w:r w:rsidR="00931D0B" w:rsidRPr="003B723B">
        <w:t xml:space="preserve"> </w:t>
      </w:r>
      <w:r w:rsidR="00066BD3" w:rsidRPr="003B723B">
        <w:t xml:space="preserve">(Aug. 13, 2014) </w:t>
      </w:r>
      <w:r w:rsidR="00066BD3" w:rsidRPr="00A772F3">
        <w:t>(</w:t>
      </w:r>
      <w:r w:rsidR="003B723B">
        <w:t>filed in this docket on</w:t>
      </w:r>
      <w:r w:rsidR="00066BD3" w:rsidRPr="00A772F3">
        <w:t xml:space="preserve"> Sep. 4, 2014</w:t>
      </w:r>
      <w:r w:rsidR="003B723B">
        <w:t xml:space="preserve"> as item 23</w:t>
      </w:r>
      <w:r w:rsidR="00066BD3" w:rsidRPr="00A772F3">
        <w:t>)</w:t>
      </w:r>
      <w:r w:rsidR="00931D0B" w:rsidRPr="003B723B">
        <w:t xml:space="preserve">; TCEQ ED’s Brief in Support of Motion to Dismiss and Remand </w:t>
      </w:r>
      <w:r w:rsidR="002C7B71" w:rsidRPr="003B723B">
        <w:t xml:space="preserve">(Aug. 13, 2014) </w:t>
      </w:r>
      <w:r w:rsidR="002C7B71" w:rsidRPr="00A772F3">
        <w:t>(</w:t>
      </w:r>
      <w:r w:rsidR="003B723B">
        <w:t xml:space="preserve">filed in this docket on </w:t>
      </w:r>
      <w:r w:rsidR="002C7B71" w:rsidRPr="00A772F3">
        <w:t>Sep. 4, 2014</w:t>
      </w:r>
      <w:r w:rsidR="003B723B">
        <w:t xml:space="preserve"> as item 24</w:t>
      </w:r>
      <w:r w:rsidR="002C7B71" w:rsidRPr="00A772F3">
        <w:t>)</w:t>
      </w:r>
      <w:r w:rsidR="00931D0B" w:rsidRPr="003B723B">
        <w:t xml:space="preserve">; Fountain View HOA’s </w:t>
      </w:r>
      <w:r w:rsidR="00585803" w:rsidRPr="003B723B">
        <w:t xml:space="preserve">letter to </w:t>
      </w:r>
      <w:r w:rsidR="003B723B">
        <w:t>A</w:t>
      </w:r>
      <w:r w:rsidR="003B723B" w:rsidRPr="003B723B">
        <w:t xml:space="preserve">dministrative </w:t>
      </w:r>
      <w:r w:rsidR="003B723B">
        <w:t>L</w:t>
      </w:r>
      <w:r w:rsidR="003B723B" w:rsidRPr="003B723B">
        <w:t xml:space="preserve">aw </w:t>
      </w:r>
      <w:r w:rsidR="003B723B">
        <w:t>J</w:t>
      </w:r>
      <w:r w:rsidR="003B723B" w:rsidRPr="003B723B">
        <w:t xml:space="preserve">udge </w:t>
      </w:r>
      <w:r w:rsidR="00585803" w:rsidRPr="003B723B">
        <w:t xml:space="preserve">Penny Wilcox </w:t>
      </w:r>
      <w:r w:rsidR="002C7B71" w:rsidRPr="003B723B">
        <w:t xml:space="preserve">(Aug. 11, 2014) </w:t>
      </w:r>
      <w:r w:rsidR="00585803" w:rsidRPr="00A772F3">
        <w:t>(</w:t>
      </w:r>
      <w:r w:rsidR="002C7B71" w:rsidRPr="00A772F3">
        <w:t>available via</w:t>
      </w:r>
      <w:r w:rsidR="00585803" w:rsidRPr="00A772F3">
        <w:t xml:space="preserve"> the SOAH’s interchange system in SOAH Docket No. </w:t>
      </w:r>
      <w:r w:rsidR="00585803" w:rsidRPr="00A772F3">
        <w:rPr>
          <w:snapToGrid/>
        </w:rPr>
        <w:t>582-14-1052</w:t>
      </w:r>
      <w:r w:rsidR="002C7B71" w:rsidRPr="00A772F3">
        <w:rPr>
          <w:snapToGrid/>
        </w:rPr>
        <w:t>,</w:t>
      </w:r>
      <w:r w:rsidR="00585803" w:rsidRPr="00A772F3">
        <w:rPr>
          <w:snapToGrid/>
        </w:rPr>
        <w:t xml:space="preserve"> </w:t>
      </w:r>
      <w:r w:rsidR="002C7B71" w:rsidRPr="00A772F3">
        <w:rPr>
          <w:snapToGrid/>
        </w:rPr>
        <w:t xml:space="preserve">item no. </w:t>
      </w:r>
      <w:r w:rsidR="006761C3" w:rsidRPr="00A772F3">
        <w:rPr>
          <w:snapToGrid/>
        </w:rPr>
        <w:t>22</w:t>
      </w:r>
      <w:r w:rsidR="002C7B71" w:rsidRPr="00A772F3">
        <w:t xml:space="preserve">, Aug. </w:t>
      </w:r>
      <w:r w:rsidR="00585803" w:rsidRPr="00A772F3">
        <w:t>11, 2014).</w:t>
      </w:r>
      <w:r w:rsidR="00585803" w:rsidRPr="003B723B">
        <w:t xml:space="preserve"> </w:t>
      </w:r>
    </w:p>
  </w:footnote>
  <w:footnote w:id="6">
    <w:p w:rsidR="00256D9A" w:rsidRDefault="00256D9A">
      <w:pPr>
        <w:pStyle w:val="FootnoteText"/>
      </w:pPr>
      <w:r w:rsidRPr="003B723B">
        <w:rPr>
          <w:rStyle w:val="FootnoteReference"/>
        </w:rPr>
        <w:footnoteRef/>
      </w:r>
      <w:r w:rsidRPr="003B723B">
        <w:t xml:space="preserve"> </w:t>
      </w:r>
      <w:r w:rsidR="006761C3" w:rsidRPr="003B723B">
        <w:t xml:space="preserve"> </w:t>
      </w:r>
      <w:r w:rsidRPr="003B723B">
        <w:t xml:space="preserve">SOAH Order No. 3 at 1-2 </w:t>
      </w:r>
      <w:r w:rsidR="00D431FB" w:rsidRPr="003B723B">
        <w:t xml:space="preserve">(Aug. 20, 2014) </w:t>
      </w:r>
      <w:r w:rsidR="00D431FB" w:rsidRPr="00A772F3">
        <w:t>(</w:t>
      </w:r>
      <w:r w:rsidR="001A48B9">
        <w:t>filed in this docket on</w:t>
      </w:r>
      <w:r w:rsidR="00D431FB" w:rsidRPr="00A772F3">
        <w:t xml:space="preserve"> Sep. 4, 2014</w:t>
      </w:r>
      <w:r w:rsidR="001A48B9">
        <w:t xml:space="preserve"> as item 26</w:t>
      </w:r>
      <w:r w:rsidR="00D431FB" w:rsidRPr="00A772F3">
        <w:t>)</w:t>
      </w:r>
      <w:r w:rsidR="00D431FB" w:rsidRPr="003B723B">
        <w:t>.</w:t>
      </w:r>
    </w:p>
  </w:footnote>
  <w:footnote w:id="7">
    <w:p w:rsidR="00570340" w:rsidRPr="00570340" w:rsidRDefault="00570340">
      <w:pPr>
        <w:pStyle w:val="FootnoteText"/>
      </w:pPr>
      <w:r>
        <w:rPr>
          <w:rStyle w:val="FootnoteReference"/>
        </w:rPr>
        <w:footnoteRef/>
      </w:r>
      <w:r w:rsidR="001A48B9">
        <w:rPr>
          <w:i/>
        </w:rPr>
        <w:t xml:space="preserve">  </w:t>
      </w:r>
      <w:r>
        <w:rPr>
          <w:i/>
        </w:rPr>
        <w:t>Id.</w:t>
      </w:r>
      <w:r>
        <w:t xml:space="preserve"> at 2.</w:t>
      </w:r>
    </w:p>
  </w:footnote>
  <w:footnote w:id="8">
    <w:p w:rsidR="002E392D" w:rsidRDefault="002E392D">
      <w:pPr>
        <w:pStyle w:val="FootnoteText"/>
      </w:pPr>
      <w:r>
        <w:rPr>
          <w:rStyle w:val="FootnoteReference"/>
        </w:rPr>
        <w:footnoteRef/>
      </w:r>
      <w:r w:rsidR="001A48B9">
        <w:t xml:space="preserve"> </w:t>
      </w:r>
      <w:r>
        <w:t xml:space="preserve"> Executive Director’s Motion for Reconsideration (Aug. 28. 2013) (filed in this docket on September 4 as item </w:t>
      </w:r>
      <w:r w:rsidR="001A48B9">
        <w:t>25)</w:t>
      </w:r>
      <w:r>
        <w:t>.</w:t>
      </w:r>
    </w:p>
  </w:footnote>
  <w:footnote w:id="9">
    <w:p w:rsidR="00337E24" w:rsidRDefault="00337E24" w:rsidP="00337E24">
      <w:pPr>
        <w:pStyle w:val="FootnoteText"/>
      </w:pPr>
      <w:r>
        <w:rPr>
          <w:rStyle w:val="FootnoteReference"/>
        </w:rPr>
        <w:footnoteRef/>
      </w:r>
      <w:r>
        <w:t xml:space="preserve"> </w:t>
      </w:r>
      <w:r w:rsidR="001A48B9">
        <w:t xml:space="preserve"> </w:t>
      </w:r>
      <w:r>
        <w:t xml:space="preserve">Act of May 13, 2013, 83rd Leg., R.S., </w:t>
      </w:r>
      <w:proofErr w:type="spellStart"/>
      <w:r>
        <w:t>ch.</w:t>
      </w:r>
      <w:proofErr w:type="spellEnd"/>
      <w:r>
        <w:t xml:space="preserve"> 170 (HB 1600), §2.96, 2013 Tex. Gen. Laws 725, 730; Act of May 13, 2013, 83rd Leg., R.S., </w:t>
      </w:r>
      <w:proofErr w:type="spellStart"/>
      <w:r>
        <w:t>ch.</w:t>
      </w:r>
      <w:proofErr w:type="spellEnd"/>
      <w:r>
        <w:t> 171 (SB 567), §96, 2013 Tex. Gen. Laws 772</w:t>
      </w:r>
      <w:r w:rsidR="00570340">
        <w:t>, 812</w:t>
      </w:r>
      <w:r>
        <w:t>.</w:t>
      </w:r>
    </w:p>
  </w:footnote>
  <w:footnote w:id="10">
    <w:p w:rsidR="00104DFE" w:rsidRDefault="00104DFE">
      <w:pPr>
        <w:pStyle w:val="FootnoteText"/>
      </w:pPr>
      <w:r>
        <w:rPr>
          <w:rStyle w:val="FootnoteReference"/>
        </w:rPr>
        <w:footnoteRef/>
      </w:r>
      <w:r w:rsidR="001A48B9">
        <w:t xml:space="preserve"> </w:t>
      </w:r>
      <w:r>
        <w:t xml:space="preserve"> Equity’s Motion for Reconsideration or First Alternative Motion for Summary Decision or Second Alternative Request for Certified Issue (Sept. 4, 2014).</w:t>
      </w:r>
    </w:p>
  </w:footnote>
  <w:footnote w:id="11">
    <w:p w:rsidR="00B73C27" w:rsidRDefault="00B73C27">
      <w:pPr>
        <w:pStyle w:val="FootnoteText"/>
      </w:pPr>
      <w:r>
        <w:rPr>
          <w:rStyle w:val="FootnoteReference"/>
        </w:rPr>
        <w:footnoteRef/>
      </w:r>
      <w:r>
        <w:t xml:space="preserve"> </w:t>
      </w:r>
      <w:r w:rsidR="001A48B9">
        <w:t xml:space="preserve"> </w:t>
      </w:r>
      <w:r>
        <w:t>Equity’s Motion for Reconsideration at 3.</w:t>
      </w:r>
    </w:p>
  </w:footnote>
  <w:footnote w:id="12">
    <w:p w:rsidR="00B73C27" w:rsidRPr="00B73C27" w:rsidRDefault="00B73C27">
      <w:pPr>
        <w:pStyle w:val="FootnoteText"/>
      </w:pPr>
      <w:r>
        <w:rPr>
          <w:rStyle w:val="FootnoteReference"/>
        </w:rPr>
        <w:footnoteRef/>
      </w:r>
      <w:r>
        <w:t xml:space="preserve"> </w:t>
      </w:r>
      <w:r w:rsidR="001A48B9">
        <w:t xml:space="preserve"> </w:t>
      </w:r>
      <w:r>
        <w:rPr>
          <w:i/>
        </w:rPr>
        <w:t>Id.</w:t>
      </w:r>
      <w:r>
        <w:t xml:space="preserve"> at 3-4.</w:t>
      </w:r>
    </w:p>
  </w:footnote>
  <w:footnote w:id="13">
    <w:p w:rsidR="00171F79" w:rsidRDefault="00171F79">
      <w:pPr>
        <w:pStyle w:val="FootnoteText"/>
      </w:pPr>
      <w:r>
        <w:rPr>
          <w:rStyle w:val="FootnoteReference"/>
        </w:rPr>
        <w:footnoteRef/>
      </w:r>
      <w:r>
        <w:t xml:space="preserve"> Commission Staff’s Response at 2 (Sept. 8, 2014).</w:t>
      </w:r>
    </w:p>
  </w:footnote>
  <w:footnote w:id="14">
    <w:p w:rsidR="00EF723B" w:rsidRDefault="00EF723B" w:rsidP="00EF723B">
      <w:pPr>
        <w:pStyle w:val="FootnoteText"/>
      </w:pPr>
      <w:r>
        <w:rPr>
          <w:rStyle w:val="FootnoteReference"/>
        </w:rPr>
        <w:footnoteRef/>
      </w:r>
      <w:r>
        <w:t xml:space="preserve">  SOAH Order No.</w:t>
      </w:r>
      <w:r w:rsidR="008F4AFA">
        <w:t> </w:t>
      </w:r>
      <w:r>
        <w:t>6 (Sep. 16, 2014).</w:t>
      </w:r>
    </w:p>
  </w:footnote>
  <w:footnote w:id="15">
    <w:p w:rsidR="000E6DA0" w:rsidRDefault="000E6DA0">
      <w:pPr>
        <w:pStyle w:val="FootnoteText"/>
      </w:pPr>
      <w:r>
        <w:rPr>
          <w:rStyle w:val="FootnoteReference"/>
        </w:rPr>
        <w:footnoteRef/>
      </w:r>
      <w:r w:rsidR="001A48B9">
        <w:t xml:space="preserve"> </w:t>
      </w:r>
      <w:r>
        <w:t xml:space="preserve"> </w:t>
      </w:r>
      <w:r w:rsidR="008F4AFA">
        <w:rPr>
          <w:i/>
        </w:rPr>
        <w:t>Id.</w:t>
      </w:r>
      <w:r w:rsidR="008F4AFA">
        <w:t xml:space="preserve"> </w:t>
      </w:r>
      <w:r>
        <w:t>at 2.</w:t>
      </w:r>
    </w:p>
  </w:footnote>
  <w:footnote w:id="16">
    <w:p w:rsidR="000E6DA0" w:rsidRPr="00A772F3" w:rsidRDefault="000E6DA0">
      <w:pPr>
        <w:pStyle w:val="FootnoteText"/>
        <w:rPr>
          <w:i/>
        </w:rPr>
      </w:pPr>
      <w:r>
        <w:rPr>
          <w:rStyle w:val="FootnoteReference"/>
        </w:rPr>
        <w:footnoteRef/>
      </w:r>
      <w:r w:rsidR="001A48B9">
        <w:t xml:space="preserve"> </w:t>
      </w:r>
      <w:r>
        <w:t xml:space="preserve"> </w:t>
      </w:r>
      <w:r>
        <w:rPr>
          <w:i/>
        </w:rPr>
        <w:t>Id.</w:t>
      </w:r>
    </w:p>
  </w:footnote>
  <w:footnote w:id="17">
    <w:p w:rsidR="005A08B6" w:rsidRPr="005A08B6" w:rsidRDefault="005A08B6">
      <w:pPr>
        <w:pStyle w:val="FootnoteText"/>
      </w:pPr>
      <w:r>
        <w:rPr>
          <w:rStyle w:val="FootnoteReference"/>
        </w:rPr>
        <w:footnoteRef/>
      </w:r>
      <w:r w:rsidR="001A48B9">
        <w:t xml:space="preserve"> </w:t>
      </w:r>
      <w:r>
        <w:t xml:space="preserve"> </w:t>
      </w:r>
      <w:r>
        <w:rPr>
          <w:i/>
        </w:rPr>
        <w:t>Id.</w:t>
      </w:r>
      <w:r>
        <w:t xml:space="preserve"> at 2-3.</w:t>
      </w:r>
    </w:p>
  </w:footnote>
  <w:footnote w:id="18">
    <w:p w:rsidR="005A08B6" w:rsidRPr="005A08B6" w:rsidRDefault="005A08B6">
      <w:pPr>
        <w:pStyle w:val="FootnoteText"/>
      </w:pPr>
      <w:r>
        <w:rPr>
          <w:rStyle w:val="FootnoteReference"/>
        </w:rPr>
        <w:footnoteRef/>
      </w:r>
      <w:r w:rsidR="001A48B9">
        <w:t xml:space="preserve"> </w:t>
      </w:r>
      <w:r>
        <w:t xml:space="preserve"> </w:t>
      </w:r>
      <w:r>
        <w:rPr>
          <w:i/>
        </w:rPr>
        <w:t>Id.</w:t>
      </w:r>
      <w:r>
        <w:t xml:space="preserve"> at 4.</w:t>
      </w:r>
    </w:p>
  </w:footnote>
  <w:footnote w:id="19">
    <w:p w:rsidR="00256D9A" w:rsidRDefault="00256D9A">
      <w:pPr>
        <w:pStyle w:val="FootnoteText"/>
      </w:pPr>
      <w:r>
        <w:rPr>
          <w:rStyle w:val="FootnoteReference"/>
        </w:rPr>
        <w:footnoteRef/>
      </w:r>
      <w:r>
        <w:t xml:space="preserve">  </w:t>
      </w:r>
      <w:r w:rsidR="00EF723B">
        <w:rPr>
          <w:i/>
        </w:rPr>
        <w:t>Id</w:t>
      </w:r>
      <w:r>
        <w:t>.</w:t>
      </w:r>
      <w:r w:rsidR="00EF723B">
        <w:t xml:space="preserve"> at 4-5.</w:t>
      </w:r>
    </w:p>
  </w:footnote>
  <w:footnote w:id="20">
    <w:p w:rsidR="005040F2" w:rsidRPr="00C33EE2" w:rsidRDefault="005040F2" w:rsidP="005040F2">
      <w:pPr>
        <w:pStyle w:val="FootnoteText"/>
        <w:rPr>
          <w:i/>
        </w:rPr>
      </w:pPr>
      <w:r>
        <w:rPr>
          <w:rStyle w:val="FootnoteReference"/>
        </w:rPr>
        <w:footnoteRef/>
      </w:r>
      <w:r>
        <w:t xml:space="preserve"> </w:t>
      </w:r>
      <w:r w:rsidR="001A48B9">
        <w:t xml:space="preserve"> </w:t>
      </w:r>
      <w:r>
        <w:rPr>
          <w:i/>
        </w:rPr>
        <w:t>Texas Municipal Power Agency v. Public Utility Commission of Texas</w:t>
      </w:r>
      <w:r>
        <w:t xml:space="preserve">, 253 S.W.3d 184, 192-93 (Tex. 2007), quoting </w:t>
      </w:r>
      <w:r>
        <w:rPr>
          <w:i/>
        </w:rPr>
        <w:t xml:space="preserve">City Public Service Board of San Antonio </w:t>
      </w:r>
      <w:r>
        <w:t xml:space="preserve">at 315 (Tex. 2001); </w:t>
      </w:r>
      <w:r>
        <w:rPr>
          <w:i/>
        </w:rPr>
        <w:t>Southwestern Electric Power Co. v. Grant</w:t>
      </w:r>
      <w:r>
        <w:t xml:space="preserve">, 73 S.W.3d 211, 216 (Tex. 2002), citing </w:t>
      </w:r>
      <w:r>
        <w:rPr>
          <w:i/>
        </w:rPr>
        <w:t>State v. Public Utility Commission</w:t>
      </w:r>
      <w:r>
        <w:t xml:space="preserve">, 883 S.W.2d 190, 194 (Tex. 1994). </w:t>
      </w:r>
      <w:r>
        <w:rPr>
          <w:i/>
        </w:rPr>
        <w:t xml:space="preserve">  </w:t>
      </w:r>
    </w:p>
  </w:footnote>
  <w:footnote w:id="21">
    <w:p w:rsidR="00DE05AC" w:rsidRDefault="00DE05AC" w:rsidP="00DE05AC">
      <w:pPr>
        <w:pStyle w:val="FootnoteText"/>
      </w:pPr>
      <w:r>
        <w:rPr>
          <w:rStyle w:val="FootnoteReference"/>
        </w:rPr>
        <w:footnoteRef/>
      </w:r>
      <w:r>
        <w:t xml:space="preserve"> </w:t>
      </w:r>
      <w:r w:rsidR="00D2297F">
        <w:t xml:space="preserve"> </w:t>
      </w:r>
      <w:r w:rsidR="00D2297F" w:rsidRPr="004552FC">
        <w:t xml:space="preserve">Texas Water Code Ann. </w:t>
      </w:r>
      <w:r w:rsidR="00D2297F" w:rsidRPr="00163763">
        <w:t>§</w:t>
      </w:r>
      <w:r w:rsidR="00D2297F">
        <w:t xml:space="preserve"> 13.183(a) </w:t>
      </w:r>
      <w:r w:rsidR="00D2297F" w:rsidRPr="00163763">
        <w:t>(TWC).</w:t>
      </w:r>
      <w:r w:rsidR="00D2297F">
        <w:rPr>
          <w:smallCaps/>
        </w:rPr>
        <w:t xml:space="preserve"> </w:t>
      </w:r>
    </w:p>
  </w:footnote>
  <w:footnote w:id="22">
    <w:p w:rsidR="00263970" w:rsidRPr="00081C3C" w:rsidRDefault="00263970">
      <w:pPr>
        <w:pStyle w:val="FootnoteText"/>
        <w:rPr>
          <w:i/>
        </w:rPr>
      </w:pPr>
      <w:r>
        <w:rPr>
          <w:rStyle w:val="FootnoteReference"/>
        </w:rPr>
        <w:footnoteRef/>
      </w:r>
      <w:r>
        <w:t xml:space="preserve"> </w:t>
      </w:r>
      <w:r w:rsidR="001A48B9">
        <w:t xml:space="preserve"> </w:t>
      </w:r>
      <w:r w:rsidR="00081C3C" w:rsidRPr="00081C3C">
        <w:rPr>
          <w:i/>
        </w:rPr>
        <w:t>Nucor Steel-Texas v. Public Utility Commission of Texas</w:t>
      </w:r>
      <w:r w:rsidR="00081C3C" w:rsidRPr="00081C3C">
        <w:t>, 363 S.W.3d 871, 890 (Tex. App. – Austin, 2012, no pet.)</w:t>
      </w:r>
      <w:r w:rsidR="005A08B6">
        <w:t xml:space="preserve">; </w:t>
      </w:r>
      <w:r w:rsidR="005A08B6">
        <w:rPr>
          <w:i/>
        </w:rPr>
        <w:t>City of El Paso v. Public Utility Commission</w:t>
      </w:r>
      <w:r w:rsidR="005A08B6" w:rsidRPr="00BE5F5F">
        <w:t>, 883 S</w:t>
      </w:r>
      <w:r w:rsidR="005A08B6">
        <w:t>.</w:t>
      </w:r>
      <w:r w:rsidR="005A08B6" w:rsidRPr="00BE5F5F">
        <w:t>W</w:t>
      </w:r>
      <w:r w:rsidR="005A08B6">
        <w:t>.</w:t>
      </w:r>
      <w:r w:rsidR="005A08B6" w:rsidRPr="00BE5F5F">
        <w:t>2d. 179,</w:t>
      </w:r>
      <w:r w:rsidR="005A08B6">
        <w:t xml:space="preserve"> 183</w:t>
      </w:r>
      <w:r w:rsidR="005A08B6" w:rsidRPr="00BE5F5F">
        <w:t xml:space="preserve"> </w:t>
      </w:r>
      <w:r w:rsidR="005A08B6">
        <w:t>(</w:t>
      </w:r>
      <w:r w:rsidR="005A08B6" w:rsidRPr="00BE5F5F">
        <w:t>Tex. 1994)</w:t>
      </w:r>
    </w:p>
  </w:footnote>
  <w:footnote w:id="23">
    <w:p w:rsidR="001B580C" w:rsidRPr="00BE5F5F" w:rsidRDefault="001B580C" w:rsidP="001B580C">
      <w:pPr>
        <w:pStyle w:val="FootnoteText"/>
      </w:pPr>
      <w:r w:rsidRPr="00BE5F5F">
        <w:rPr>
          <w:rStyle w:val="FootnoteReference"/>
        </w:rPr>
        <w:footnoteRef/>
      </w:r>
      <w:r w:rsidRPr="00BE5F5F">
        <w:t xml:space="preserve"> </w:t>
      </w:r>
      <w:r>
        <w:t xml:space="preserve"> </w:t>
      </w:r>
      <w:r>
        <w:rPr>
          <w:i/>
        </w:rPr>
        <w:t>City of El Paso</w:t>
      </w:r>
      <w:r w:rsidRPr="00BE5F5F">
        <w:t>, 883 S</w:t>
      </w:r>
      <w:r>
        <w:t>.</w:t>
      </w:r>
      <w:r w:rsidRPr="00BE5F5F">
        <w:t>W</w:t>
      </w:r>
      <w:r>
        <w:t>.</w:t>
      </w:r>
      <w:r w:rsidRPr="00BE5F5F">
        <w:t xml:space="preserve">2d. </w:t>
      </w:r>
      <w:r w:rsidR="00B24F91">
        <w:t>at</w:t>
      </w:r>
      <w:r>
        <w:t xml:space="preserve"> 183</w:t>
      </w:r>
      <w:r w:rsidRPr="00BE5F5F">
        <w:t xml:space="preserve"> </w:t>
      </w:r>
      <w:r>
        <w:t>(</w:t>
      </w:r>
      <w:r w:rsidRPr="00BE5F5F">
        <w:t>Tex. 1994)</w:t>
      </w:r>
      <w:r w:rsidRPr="00A772F3">
        <w:rPr>
          <w:sz w:val="19"/>
          <w:szCs w:val="19"/>
        </w:rPr>
        <w:t>.</w:t>
      </w:r>
    </w:p>
  </w:footnote>
  <w:footnote w:id="24">
    <w:p w:rsidR="005B62C6" w:rsidRPr="005B62C6" w:rsidRDefault="005B62C6" w:rsidP="005B62C6">
      <w:pPr>
        <w:autoSpaceDE w:val="0"/>
        <w:autoSpaceDN w:val="0"/>
        <w:adjustRightInd w:val="0"/>
        <w:snapToGrid w:val="0"/>
        <w:ind w:firstLine="720"/>
        <w:rPr>
          <w:snapToGrid/>
          <w:color w:val="000000"/>
          <w:sz w:val="20"/>
        </w:rPr>
      </w:pPr>
      <w:r w:rsidRPr="005B62C6">
        <w:rPr>
          <w:rStyle w:val="FootnoteReference"/>
          <w:sz w:val="20"/>
        </w:rPr>
        <w:footnoteRef/>
      </w:r>
      <w:r w:rsidRPr="005B62C6">
        <w:rPr>
          <w:sz w:val="20"/>
        </w:rPr>
        <w:t xml:space="preserve"> </w:t>
      </w:r>
      <w:r>
        <w:rPr>
          <w:sz w:val="20"/>
        </w:rPr>
        <w:t xml:space="preserve"> </w:t>
      </w:r>
      <w:r w:rsidRPr="005B62C6">
        <w:rPr>
          <w:sz w:val="20"/>
        </w:rPr>
        <w:t xml:space="preserve">Douglas’s Response to Motion to Dismiss and Remand at 1.  </w:t>
      </w:r>
    </w:p>
  </w:footnote>
  <w:footnote w:id="25">
    <w:p w:rsidR="0098626A" w:rsidRDefault="0098626A">
      <w:pPr>
        <w:pStyle w:val="FootnoteText"/>
      </w:pPr>
      <w:r>
        <w:rPr>
          <w:rStyle w:val="FootnoteReference"/>
        </w:rPr>
        <w:footnoteRef/>
      </w:r>
      <w:r>
        <w:t xml:space="preserve"> </w:t>
      </w:r>
      <w:r w:rsidR="00D2297F">
        <w:t xml:space="preserve"> </w:t>
      </w:r>
      <w:r w:rsidR="00EF348F">
        <w:rPr>
          <w:i/>
        </w:rPr>
        <w:t>City of El Paso</w:t>
      </w:r>
      <w:r w:rsidR="00EF348F" w:rsidRPr="00BE5F5F">
        <w:t>, 883 S</w:t>
      </w:r>
      <w:r w:rsidR="00EF348F">
        <w:t>.</w:t>
      </w:r>
      <w:r w:rsidR="00EF348F" w:rsidRPr="00BE5F5F">
        <w:t>W</w:t>
      </w:r>
      <w:r w:rsidR="00EF348F">
        <w:t>.</w:t>
      </w:r>
      <w:r w:rsidR="00EF348F" w:rsidRPr="00BE5F5F">
        <w:t xml:space="preserve">2d. </w:t>
      </w:r>
      <w:r w:rsidR="00EF348F">
        <w:t>at 183</w:t>
      </w:r>
      <w:r>
        <w:t>.</w:t>
      </w:r>
    </w:p>
  </w:footnote>
  <w:footnote w:id="26">
    <w:p w:rsidR="007136E0" w:rsidRDefault="007136E0">
      <w:pPr>
        <w:pStyle w:val="FootnoteText"/>
      </w:pPr>
      <w:r>
        <w:rPr>
          <w:rStyle w:val="FootnoteReference"/>
        </w:rPr>
        <w:footnoteRef/>
      </w:r>
      <w:r>
        <w:t xml:space="preserve"> </w:t>
      </w:r>
      <w:r w:rsidR="001E4D0B">
        <w:t xml:space="preserve"> </w:t>
      </w:r>
      <w:r w:rsidR="00E54365">
        <w:rPr>
          <w:i/>
        </w:rPr>
        <w:t>See</w:t>
      </w:r>
      <w:r w:rsidR="00E54365">
        <w:t xml:space="preserve"> </w:t>
      </w:r>
      <w:r>
        <w:t>TWC §</w:t>
      </w:r>
      <w:r w:rsidR="001A48B9">
        <w:t> </w:t>
      </w:r>
      <w:r>
        <w:t>13.184</w:t>
      </w:r>
      <w:r w:rsidR="001E4D0B">
        <w:t>(c)</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B7E" w:rsidRDefault="00DB4B7E" w:rsidP="00B16C4B">
    <w:pPr>
      <w:pStyle w:val="Header"/>
      <w:tabs>
        <w:tab w:val="clear" w:pos="4320"/>
        <w:tab w:val="clear" w:pos="8640"/>
        <w:tab w:val="center" w:pos="4680"/>
        <w:tab w:val="right" w:pos="9360"/>
      </w:tabs>
      <w:rPr>
        <w:rStyle w:val="PageNumber"/>
      </w:rPr>
    </w:pPr>
    <w:r>
      <w:t xml:space="preserve">PUC Docket No. </w:t>
    </w:r>
    <w:r w:rsidR="00931D0B">
      <w:t>42860</w:t>
    </w:r>
    <w:r>
      <w:tab/>
      <w:t>Order</w:t>
    </w:r>
    <w:r w:rsidR="00931D0B">
      <w:t xml:space="preserve"> on Appeal of SOAH Order No. 3</w:t>
    </w:r>
    <w:r>
      <w:tab/>
      <w:t xml:space="preserve">Page </w:t>
    </w:r>
    <w:r>
      <w:rPr>
        <w:rStyle w:val="PageNumber"/>
      </w:rPr>
      <w:fldChar w:fldCharType="begin"/>
    </w:r>
    <w:r>
      <w:rPr>
        <w:rStyle w:val="PageNumber"/>
      </w:rPr>
      <w:instrText xml:space="preserve"> PAGE </w:instrText>
    </w:r>
    <w:r>
      <w:rPr>
        <w:rStyle w:val="PageNumber"/>
      </w:rPr>
      <w:fldChar w:fldCharType="separate"/>
    </w:r>
    <w:r w:rsidR="009A39A0">
      <w:rPr>
        <w:rStyle w:val="PageNumber"/>
        <w:noProof/>
      </w:rPr>
      <w:t>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9A39A0">
      <w:rPr>
        <w:rStyle w:val="PageNumber"/>
        <w:noProof/>
      </w:rPr>
      <w:t>6</w:t>
    </w:r>
    <w:r>
      <w:rPr>
        <w:rStyle w:val="PageNumber"/>
      </w:rPr>
      <w:fldChar w:fldCharType="end"/>
    </w:r>
  </w:p>
  <w:p w:rsidR="00DB4B7E" w:rsidRDefault="00931D0B">
    <w:pPr>
      <w:pStyle w:val="Header"/>
      <w:rPr>
        <w:rStyle w:val="PageNumber"/>
      </w:rPr>
    </w:pPr>
    <w:r>
      <w:rPr>
        <w:rStyle w:val="PageNumber"/>
      </w:rPr>
      <w:t>SOAH Docket No. 473</w:t>
    </w:r>
    <w:r w:rsidR="00DB4B7E">
      <w:rPr>
        <w:rStyle w:val="PageNumber"/>
      </w:rPr>
      <w:t>-</w:t>
    </w:r>
    <w:r>
      <w:rPr>
        <w:rStyle w:val="PageNumber"/>
      </w:rPr>
      <w:t>14</w:t>
    </w:r>
    <w:r w:rsidR="00DB4B7E">
      <w:rPr>
        <w:rStyle w:val="PageNumber"/>
      </w:rPr>
      <w:t>-</w:t>
    </w:r>
    <w:r>
      <w:rPr>
        <w:rStyle w:val="PageNumber"/>
      </w:rPr>
      <w:t>5140</w:t>
    </w:r>
  </w:p>
  <w:p w:rsidR="00DB4B7E" w:rsidRDefault="00DB4B7E">
    <w:pPr>
      <w:pStyle w:val="Header"/>
      <w:rPr>
        <w:rStyle w:val="PageNumber"/>
      </w:rPr>
    </w:pPr>
  </w:p>
  <w:p w:rsidR="00DB4B7E" w:rsidRDefault="00DB4B7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FC7726"/>
    <w:multiLevelType w:val="singleLevel"/>
    <w:tmpl w:val="C974120C"/>
    <w:lvl w:ilvl="0">
      <w:start w:val="1"/>
      <w:numFmt w:val="decimal"/>
      <w:lvlText w:val="%1."/>
      <w:lvlJc w:val="left"/>
      <w:pPr>
        <w:tabs>
          <w:tab w:val="num" w:pos="720"/>
        </w:tabs>
        <w:ind w:left="720" w:hanging="720"/>
      </w:pPr>
    </w:lvl>
  </w:abstractNum>
  <w:abstractNum w:abstractNumId="2">
    <w:nsid w:val="07381D3F"/>
    <w:multiLevelType w:val="multilevel"/>
    <w:tmpl w:val="780CF694"/>
    <w:lvl w:ilvl="0">
      <w:start w:val="1"/>
      <w:numFmt w:val="decimal"/>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4">
    <w:nsid w:val="182039B5"/>
    <w:multiLevelType w:val="multilevel"/>
    <w:tmpl w:val="E9202C34"/>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pStyle w:val="Heading5"/>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6">
    <w:nsid w:val="36BE4442"/>
    <w:multiLevelType w:val="hybridMultilevel"/>
    <w:tmpl w:val="5838EAFC"/>
    <w:lvl w:ilvl="0" w:tplc="518010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8090242"/>
    <w:multiLevelType w:val="hybridMultilevel"/>
    <w:tmpl w:val="4FF4948A"/>
    <w:lvl w:ilvl="0" w:tplc="88943A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6F502CE1"/>
    <w:multiLevelType w:val="singleLevel"/>
    <w:tmpl w:val="D8D86316"/>
    <w:lvl w:ilvl="0">
      <w:start w:val="1"/>
      <w:numFmt w:val="decimal"/>
      <w:lvlText w:val="%1."/>
      <w:lvlJc w:val="left"/>
      <w:pPr>
        <w:tabs>
          <w:tab w:val="num" w:pos="720"/>
        </w:tabs>
        <w:ind w:left="720" w:hanging="720"/>
      </w:pPr>
    </w:lvl>
  </w:abstractNum>
  <w:abstractNum w:abstractNumId="9">
    <w:nsid w:val="6F6B1C74"/>
    <w:multiLevelType w:val="multilevel"/>
    <w:tmpl w:val="CA0491EE"/>
    <w:lvl w:ilvl="0">
      <w:start w:val="1"/>
      <w:numFmt w:val="upperRoman"/>
      <w:pStyle w:val="Heading1"/>
      <w:suff w:val="space"/>
      <w:lvlText w:val="%1."/>
      <w:lvlJc w:val="center"/>
      <w:pPr>
        <w:ind w:left="720" w:firstLine="288"/>
      </w:pPr>
    </w:lvl>
    <w:lvl w:ilvl="1">
      <w:start w:val="1"/>
      <w:numFmt w:val="upperLetter"/>
      <w:suff w:val="space"/>
      <w:lvlText w:val="%2."/>
      <w:lvlJc w:val="center"/>
      <w:pPr>
        <w:ind w:left="720" w:firstLine="0"/>
      </w:pPr>
    </w:lvl>
    <w:lvl w:ilvl="2">
      <w:start w:val="1"/>
      <w:numFmt w:val="decimal"/>
      <w:pStyle w:val="COLNumbered"/>
      <w:lvlText w:val="%3."/>
      <w:lvlJc w:val="left"/>
      <w:pPr>
        <w:tabs>
          <w:tab w:val="num" w:pos="1080"/>
        </w:tabs>
        <w:ind w:left="720" w:firstLine="0"/>
      </w:pPr>
    </w:lvl>
    <w:lvl w:ilvl="3">
      <w:start w:val="1"/>
      <w:numFmt w:val="lowerLetter"/>
      <w:pStyle w:val="OrderingNumbered"/>
      <w:lvlText w:val="%4."/>
      <w:lvlJc w:val="left"/>
      <w:pPr>
        <w:tabs>
          <w:tab w:val="num" w:pos="1080"/>
        </w:tabs>
        <w:ind w:left="720" w:firstLine="0"/>
      </w:pPr>
    </w:lvl>
    <w:lvl w:ilvl="4">
      <w:start w:val="1"/>
      <w:numFmt w:val="lowerRoman"/>
      <w:lvlText w:val="%5."/>
      <w:lvlJc w:val="left"/>
      <w:pPr>
        <w:tabs>
          <w:tab w:val="num" w:pos="1440"/>
        </w:tabs>
        <w:ind w:left="720" w:firstLine="0"/>
      </w:pPr>
    </w:lvl>
    <w:lvl w:ilvl="5">
      <w:start w:val="1"/>
      <w:numFmt w:val="upperLetter"/>
      <w:lvlText w:val="(%6) "/>
      <w:lvlJc w:val="left"/>
      <w:pPr>
        <w:tabs>
          <w:tab w:val="num" w:pos="4680"/>
        </w:tabs>
        <w:ind w:left="4320" w:firstLine="0"/>
      </w:pPr>
    </w:lvl>
    <w:lvl w:ilvl="6">
      <w:start w:val="1"/>
      <w:numFmt w:val="upperLetter"/>
      <w:lvlText w:val="(%7)"/>
      <w:lvlJc w:val="left"/>
      <w:pPr>
        <w:tabs>
          <w:tab w:val="num" w:pos="5400"/>
        </w:tabs>
        <w:ind w:left="5040" w:firstLine="0"/>
      </w:pPr>
    </w:lvl>
    <w:lvl w:ilvl="7">
      <w:start w:val="1"/>
      <w:numFmt w:val="lowerLetter"/>
      <w:lvlText w:val="(%8)"/>
      <w:lvlJc w:val="left"/>
      <w:pPr>
        <w:tabs>
          <w:tab w:val="num" w:pos="6120"/>
        </w:tabs>
        <w:ind w:left="5760" w:firstLine="0"/>
      </w:pPr>
    </w:lvl>
    <w:lvl w:ilvl="8">
      <w:start w:val="1"/>
      <w:numFmt w:val="lowerRoman"/>
      <w:lvlText w:val="(%9)"/>
      <w:lvlJc w:val="left"/>
      <w:pPr>
        <w:tabs>
          <w:tab w:val="num" w:pos="6840"/>
        </w:tabs>
        <w:ind w:left="6480" w:firstLine="0"/>
      </w:pPr>
    </w:lvl>
  </w:abstractNum>
  <w:num w:numId="1">
    <w:abstractNumId w:val="9"/>
  </w:num>
  <w:num w:numId="2">
    <w:abstractNumId w:val="9"/>
  </w:num>
  <w:num w:numId="3">
    <w:abstractNumId w:val="9"/>
  </w:num>
  <w:num w:numId="4">
    <w:abstractNumId w:val="9"/>
  </w:num>
  <w:num w:numId="5">
    <w:abstractNumId w:val="1"/>
  </w:num>
  <w:num w:numId="6">
    <w:abstractNumId w:val="8"/>
  </w:num>
  <w:num w:numId="7">
    <w:abstractNumId w:val="8"/>
    <w:lvlOverride w:ilvl="0">
      <w:startOverride w:val="1"/>
    </w:lvlOverride>
  </w:num>
  <w:num w:numId="8">
    <w:abstractNumId w:val="3"/>
  </w:num>
  <w:num w:numId="9">
    <w:abstractNumId w:val="4"/>
  </w:num>
  <w:num w:numId="10">
    <w:abstractNumId w:val="9"/>
  </w:num>
  <w:num w:numId="11">
    <w:abstractNumId w:val="9"/>
  </w:num>
  <w:num w:numId="12">
    <w:abstractNumId w:val="4"/>
  </w:num>
  <w:num w:numId="13">
    <w:abstractNumId w:val="9"/>
  </w:num>
  <w:num w:numId="14">
    <w:abstractNumId w:val="4"/>
  </w:num>
  <w:num w:numId="15">
    <w:abstractNumId w:val="5"/>
  </w:num>
  <w:num w:numId="16">
    <w:abstractNumId w:val="5"/>
  </w:num>
  <w:num w:numId="17">
    <w:abstractNumId w:val="5"/>
  </w:num>
  <w:num w:numId="18">
    <w:abstractNumId w:val="5"/>
  </w:num>
  <w:num w:numId="19">
    <w:abstractNumId w:val="9"/>
  </w:num>
  <w:num w:numId="20">
    <w:abstractNumId w:val="4"/>
  </w:num>
  <w:num w:numId="21">
    <w:abstractNumId w:val="5"/>
  </w:num>
  <w:num w:numId="22">
    <w:abstractNumId w:val="5"/>
  </w:num>
  <w:num w:numId="23">
    <w:abstractNumId w:val="5"/>
  </w:num>
  <w:num w:numId="24">
    <w:abstractNumId w:val="5"/>
  </w:num>
  <w:num w:numId="25">
    <w:abstractNumId w:val="2"/>
  </w:num>
  <w:num w:numId="26">
    <w:abstractNumId w:val="0"/>
    <w:lvlOverride w:ilvl="0">
      <w:lvl w:ilvl="0">
        <w:start w:val="1"/>
        <w:numFmt w:val="bullet"/>
        <w:lvlText w:val=""/>
        <w:legacy w:legacy="1" w:legacySpace="0" w:legacyIndent="360"/>
        <w:lvlJc w:val="left"/>
        <w:pPr>
          <w:ind w:left="1800" w:hanging="360"/>
        </w:pPr>
        <w:rPr>
          <w:rFonts w:ascii="Symbol" w:hAnsi="Symbol"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3E65"/>
    <w:rsid w:val="00027164"/>
    <w:rsid w:val="00040455"/>
    <w:rsid w:val="00040B0B"/>
    <w:rsid w:val="000516D5"/>
    <w:rsid w:val="00062FA8"/>
    <w:rsid w:val="00066BD3"/>
    <w:rsid w:val="000777DD"/>
    <w:rsid w:val="00077D4A"/>
    <w:rsid w:val="000812EE"/>
    <w:rsid w:val="00081C3C"/>
    <w:rsid w:val="00083DD0"/>
    <w:rsid w:val="000B2E38"/>
    <w:rsid w:val="000B7292"/>
    <w:rsid w:val="000C1AB7"/>
    <w:rsid w:val="000E6DA0"/>
    <w:rsid w:val="00104DFE"/>
    <w:rsid w:val="0010502B"/>
    <w:rsid w:val="0014411A"/>
    <w:rsid w:val="00153B4C"/>
    <w:rsid w:val="00163763"/>
    <w:rsid w:val="00171F79"/>
    <w:rsid w:val="001A48B9"/>
    <w:rsid w:val="001B580C"/>
    <w:rsid w:val="001C3B47"/>
    <w:rsid w:val="001E4D0B"/>
    <w:rsid w:val="001F7869"/>
    <w:rsid w:val="002215E7"/>
    <w:rsid w:val="00236F5A"/>
    <w:rsid w:val="00253B08"/>
    <w:rsid w:val="00256D9A"/>
    <w:rsid w:val="00260AC1"/>
    <w:rsid w:val="00263970"/>
    <w:rsid w:val="0026702E"/>
    <w:rsid w:val="002868A2"/>
    <w:rsid w:val="002A1501"/>
    <w:rsid w:val="002A7DEA"/>
    <w:rsid w:val="002C2B5C"/>
    <w:rsid w:val="002C7B71"/>
    <w:rsid w:val="002E392D"/>
    <w:rsid w:val="00337E24"/>
    <w:rsid w:val="0036472C"/>
    <w:rsid w:val="00376FC3"/>
    <w:rsid w:val="00392873"/>
    <w:rsid w:val="003B08DD"/>
    <w:rsid w:val="003B45AE"/>
    <w:rsid w:val="003B723B"/>
    <w:rsid w:val="003E1BD1"/>
    <w:rsid w:val="003E3C10"/>
    <w:rsid w:val="00406235"/>
    <w:rsid w:val="00415C67"/>
    <w:rsid w:val="004165BB"/>
    <w:rsid w:val="00441EDD"/>
    <w:rsid w:val="004552FC"/>
    <w:rsid w:val="00463C89"/>
    <w:rsid w:val="004931D8"/>
    <w:rsid w:val="004B1C7B"/>
    <w:rsid w:val="004C31B3"/>
    <w:rsid w:val="004D083A"/>
    <w:rsid w:val="005040F2"/>
    <w:rsid w:val="00516C34"/>
    <w:rsid w:val="0056743A"/>
    <w:rsid w:val="00570340"/>
    <w:rsid w:val="00580522"/>
    <w:rsid w:val="00585803"/>
    <w:rsid w:val="005A08B6"/>
    <w:rsid w:val="005B62C6"/>
    <w:rsid w:val="006177A6"/>
    <w:rsid w:val="00634E06"/>
    <w:rsid w:val="0063769F"/>
    <w:rsid w:val="00642799"/>
    <w:rsid w:val="00664CF1"/>
    <w:rsid w:val="006761C3"/>
    <w:rsid w:val="00680DE9"/>
    <w:rsid w:val="006D4ACB"/>
    <w:rsid w:val="006E2930"/>
    <w:rsid w:val="007136E0"/>
    <w:rsid w:val="00766E42"/>
    <w:rsid w:val="007723B9"/>
    <w:rsid w:val="00783E65"/>
    <w:rsid w:val="007B4887"/>
    <w:rsid w:val="007C59E3"/>
    <w:rsid w:val="007F2DB7"/>
    <w:rsid w:val="008113F2"/>
    <w:rsid w:val="0082333A"/>
    <w:rsid w:val="008272CB"/>
    <w:rsid w:val="00834D48"/>
    <w:rsid w:val="008439DC"/>
    <w:rsid w:val="00852E35"/>
    <w:rsid w:val="00896CE7"/>
    <w:rsid w:val="00897514"/>
    <w:rsid w:val="008A1D27"/>
    <w:rsid w:val="008D3357"/>
    <w:rsid w:val="008F4AFA"/>
    <w:rsid w:val="008F66B2"/>
    <w:rsid w:val="00912B44"/>
    <w:rsid w:val="00915191"/>
    <w:rsid w:val="00920D0B"/>
    <w:rsid w:val="00931D0B"/>
    <w:rsid w:val="00967322"/>
    <w:rsid w:val="00967512"/>
    <w:rsid w:val="009678EB"/>
    <w:rsid w:val="00977223"/>
    <w:rsid w:val="0098626A"/>
    <w:rsid w:val="00987CF4"/>
    <w:rsid w:val="009A287F"/>
    <w:rsid w:val="009A39A0"/>
    <w:rsid w:val="009B61FA"/>
    <w:rsid w:val="009F60F9"/>
    <w:rsid w:val="00A772F3"/>
    <w:rsid w:val="00A86137"/>
    <w:rsid w:val="00A94B8E"/>
    <w:rsid w:val="00AB38E0"/>
    <w:rsid w:val="00AC24DF"/>
    <w:rsid w:val="00AD3AF7"/>
    <w:rsid w:val="00B16C4B"/>
    <w:rsid w:val="00B24F91"/>
    <w:rsid w:val="00B53E1E"/>
    <w:rsid w:val="00B73C27"/>
    <w:rsid w:val="00B818C6"/>
    <w:rsid w:val="00B91A91"/>
    <w:rsid w:val="00BB22CB"/>
    <w:rsid w:val="00BE5F5F"/>
    <w:rsid w:val="00BF5BA2"/>
    <w:rsid w:val="00C325FC"/>
    <w:rsid w:val="00C36161"/>
    <w:rsid w:val="00C36761"/>
    <w:rsid w:val="00C92D5A"/>
    <w:rsid w:val="00C95EE4"/>
    <w:rsid w:val="00CB502B"/>
    <w:rsid w:val="00CD4ED3"/>
    <w:rsid w:val="00CD78C8"/>
    <w:rsid w:val="00CE2433"/>
    <w:rsid w:val="00D0614C"/>
    <w:rsid w:val="00D0672D"/>
    <w:rsid w:val="00D10BD6"/>
    <w:rsid w:val="00D2297F"/>
    <w:rsid w:val="00D34F93"/>
    <w:rsid w:val="00D431FB"/>
    <w:rsid w:val="00D52979"/>
    <w:rsid w:val="00D55D3A"/>
    <w:rsid w:val="00D81E93"/>
    <w:rsid w:val="00D86696"/>
    <w:rsid w:val="00DB4B7E"/>
    <w:rsid w:val="00DC477F"/>
    <w:rsid w:val="00DE05AC"/>
    <w:rsid w:val="00DF7B15"/>
    <w:rsid w:val="00E0317C"/>
    <w:rsid w:val="00E0440D"/>
    <w:rsid w:val="00E26573"/>
    <w:rsid w:val="00E54365"/>
    <w:rsid w:val="00E924E7"/>
    <w:rsid w:val="00EF348F"/>
    <w:rsid w:val="00EF723B"/>
    <w:rsid w:val="00F210CF"/>
    <w:rsid w:val="00F46A0E"/>
    <w:rsid w:val="00F533B1"/>
    <w:rsid w:val="00FB754A"/>
    <w:rsid w:val="00FD6764"/>
    <w:rsid w:val="00FF4D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967512"/>
    <w:pPr>
      <w:keepNext/>
      <w:numPr>
        <w:numId w:val="19"/>
      </w:numPr>
      <w:spacing w:before="240" w:after="120"/>
      <w:ind w:left="0" w:firstLine="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aliases w:val="o,Style 3"/>
    <w:semiHidden/>
    <w:rPr>
      <w:vertAlign w:val="superscript"/>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5040F2"/>
    <w:rPr>
      <w:snapToGrid w:val="0"/>
    </w:rPr>
  </w:style>
  <w:style w:type="paragraph" w:styleId="BalloonText">
    <w:name w:val="Balloon Text"/>
    <w:basedOn w:val="Normal"/>
    <w:link w:val="BalloonTextChar"/>
    <w:rsid w:val="00B91A91"/>
    <w:rPr>
      <w:rFonts w:ascii="Tahoma" w:hAnsi="Tahoma" w:cs="Tahoma"/>
      <w:sz w:val="16"/>
      <w:szCs w:val="16"/>
    </w:rPr>
  </w:style>
  <w:style w:type="character" w:customStyle="1" w:styleId="BalloonTextChar">
    <w:name w:val="Balloon Text Char"/>
    <w:basedOn w:val="DefaultParagraphFont"/>
    <w:link w:val="BalloonText"/>
    <w:rsid w:val="00B91A91"/>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9E3"/>
    <w:rPr>
      <w:snapToGrid w:val="0"/>
      <w:sz w:val="24"/>
    </w:rPr>
  </w:style>
  <w:style w:type="paragraph" w:styleId="Heading1">
    <w:name w:val="heading 1"/>
    <w:basedOn w:val="Normal"/>
    <w:next w:val="BodyText"/>
    <w:qFormat/>
    <w:rsid w:val="00967512"/>
    <w:pPr>
      <w:keepNext/>
      <w:numPr>
        <w:numId w:val="19"/>
      </w:numPr>
      <w:spacing w:before="240" w:after="120"/>
      <w:ind w:left="0" w:firstLine="0"/>
      <w:jc w:val="center"/>
      <w:outlineLvl w:val="0"/>
    </w:pPr>
    <w:rPr>
      <w:b/>
      <w:szCs w:val="24"/>
    </w:rPr>
  </w:style>
  <w:style w:type="paragraph" w:styleId="Heading2">
    <w:name w:val="heading 2"/>
    <w:basedOn w:val="Normal"/>
    <w:next w:val="BodyText"/>
    <w:link w:val="Heading2Char"/>
    <w:qFormat/>
    <w:rsid w:val="007C59E3"/>
    <w:pPr>
      <w:keepNext/>
      <w:numPr>
        <w:ilvl w:val="1"/>
        <w:numId w:val="25"/>
      </w:numPr>
      <w:spacing w:before="360" w:after="120"/>
      <w:jc w:val="center"/>
      <w:outlineLvl w:val="1"/>
    </w:pPr>
    <w:rPr>
      <w:b/>
      <w:szCs w:val="24"/>
    </w:rPr>
  </w:style>
  <w:style w:type="paragraph" w:styleId="Heading3">
    <w:name w:val="heading 3"/>
    <w:basedOn w:val="Normal"/>
    <w:next w:val="BodyText"/>
    <w:link w:val="Heading3Char"/>
    <w:qFormat/>
    <w:rsid w:val="007C59E3"/>
    <w:pPr>
      <w:keepNext/>
      <w:spacing w:before="240" w:after="120"/>
      <w:outlineLvl w:val="2"/>
    </w:pPr>
    <w:rPr>
      <w:b/>
      <w:szCs w:val="24"/>
    </w:rPr>
  </w:style>
  <w:style w:type="paragraph" w:styleId="Heading4">
    <w:name w:val="heading 4"/>
    <w:basedOn w:val="Normal"/>
    <w:next w:val="BodyText"/>
    <w:qFormat/>
    <w:rsid w:val="007C59E3"/>
    <w:pPr>
      <w:keepNext/>
      <w:spacing w:before="240" w:after="120"/>
      <w:outlineLvl w:val="3"/>
    </w:pPr>
    <w:rPr>
      <w:b/>
      <w:szCs w:val="24"/>
    </w:rPr>
  </w:style>
  <w:style w:type="paragraph" w:styleId="Heading5">
    <w:name w:val="heading 5"/>
    <w:basedOn w:val="Normal"/>
    <w:next w:val="BodyText"/>
    <w:qFormat/>
    <w:rsid w:val="007C59E3"/>
    <w:pPr>
      <w:keepNext/>
      <w:numPr>
        <w:ilvl w:val="4"/>
        <w:numId w:val="20"/>
      </w:numPr>
      <w:spacing w:before="240" w:after="60"/>
      <w:outlineLvl w:val="4"/>
    </w:pPr>
    <w:rPr>
      <w:b/>
      <w:sz w:val="22"/>
      <w:szCs w:val="22"/>
    </w:rPr>
  </w:style>
  <w:style w:type="paragraph" w:styleId="Heading6">
    <w:name w:val="heading 6"/>
    <w:aliases w:val="FOF or COL Subheading"/>
    <w:basedOn w:val="Normal"/>
    <w:next w:val="FOFCOL"/>
    <w:qFormat/>
    <w:rsid w:val="007C59E3"/>
    <w:pPr>
      <w:keepNext/>
      <w:spacing w:before="240" w:after="60"/>
      <w:outlineLvl w:val="5"/>
    </w:pPr>
    <w:rPr>
      <w:b/>
      <w:i/>
      <w:sz w:val="22"/>
      <w:szCs w:val="22"/>
      <w:u w:val="single"/>
    </w:rPr>
  </w:style>
  <w:style w:type="paragraph" w:styleId="Heading7">
    <w:name w:val="heading 7"/>
    <w:basedOn w:val="Normal"/>
    <w:next w:val="Normal"/>
    <w:link w:val="Heading7Char"/>
    <w:semiHidden/>
    <w:unhideWhenUsed/>
    <w:qFormat/>
    <w:rsid w:val="007C59E3"/>
    <w:pPr>
      <w:spacing w:before="240" w:after="60"/>
      <w:outlineLvl w:val="6"/>
    </w:pPr>
    <w:rPr>
      <w:rFonts w:ascii="Calibri" w:hAnsi="Calibri"/>
      <w:szCs w:val="24"/>
    </w:rPr>
  </w:style>
  <w:style w:type="paragraph" w:styleId="Heading8">
    <w:name w:val="heading 8"/>
    <w:basedOn w:val="Normal"/>
    <w:next w:val="Normal"/>
    <w:link w:val="Heading8Char"/>
    <w:semiHidden/>
    <w:unhideWhenUsed/>
    <w:qFormat/>
    <w:rsid w:val="007C59E3"/>
    <w:pPr>
      <w:spacing w:before="240" w:after="60"/>
      <w:outlineLvl w:val="7"/>
    </w:pPr>
    <w:rPr>
      <w:rFonts w:ascii="Calibri" w:hAnsi="Calibri"/>
      <w:i/>
      <w:iCs/>
      <w:szCs w:val="24"/>
    </w:rPr>
  </w:style>
  <w:style w:type="paragraph" w:styleId="Heading9">
    <w:name w:val="heading 9"/>
    <w:basedOn w:val="Normal"/>
    <w:next w:val="Normal"/>
    <w:link w:val="Heading9Char"/>
    <w:semiHidden/>
    <w:unhideWhenUsed/>
    <w:qFormat/>
    <w:rsid w:val="007C59E3"/>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360" w:lineRule="auto"/>
      <w:ind w:firstLine="720"/>
      <w:jc w:val="both"/>
    </w:pPr>
  </w:style>
  <w:style w:type="paragraph" w:customStyle="1" w:styleId="TitleFront">
    <w:name w:val="TitleFront"/>
    <w:basedOn w:val="Title"/>
    <w:rsid w:val="006E2930"/>
  </w:style>
  <w:style w:type="paragraph" w:customStyle="1" w:styleId="FOFCOL">
    <w:name w:val="FOF/COL"/>
    <w:basedOn w:val="BodyText"/>
    <w:pPr>
      <w:ind w:left="720" w:hanging="720"/>
    </w:pPr>
  </w:style>
  <w:style w:type="paragraph" w:styleId="Footer">
    <w:name w:val="footer"/>
    <w:basedOn w:val="Normal"/>
    <w:pPr>
      <w:widowControl w:val="0"/>
      <w:tabs>
        <w:tab w:val="center" w:pos="4320"/>
        <w:tab w:val="right" w:pos="8640"/>
      </w:tabs>
    </w:pPr>
  </w:style>
  <w:style w:type="character" w:styleId="FootnoteReference">
    <w:name w:val="footnote reference"/>
    <w:aliases w:val="o,Style 3"/>
    <w:semiHidden/>
    <w:rPr>
      <w:vertAlign w:val="superscript"/>
    </w:rPr>
  </w:style>
  <w:style w:type="paragraph" w:styleId="FootnoteText">
    <w:name w:val="footnote text"/>
    <w:aliases w:val="Footnote Text Char1 Char,Footnote Text Char Char Char,Footnote Text Char1 Char Char Char,ALTS FOOTNOTE Char Char Char Char,fn Char Char Char Char,Footnote Text Char Char Char Char Char,Footnote Text Char1"/>
    <w:basedOn w:val="Normal"/>
    <w:link w:val="FootnoteTextChar"/>
    <w:semiHidden/>
    <w:pPr>
      <w:spacing w:before="120"/>
      <w:ind w:firstLine="720"/>
      <w:jc w:val="both"/>
    </w:pPr>
    <w:rPr>
      <w:sz w:val="20"/>
    </w:rPr>
  </w:style>
  <w:style w:type="paragraph" w:styleId="Header">
    <w:name w:val="header"/>
    <w:basedOn w:val="Normal"/>
    <w:pPr>
      <w:widowControl w:val="0"/>
      <w:tabs>
        <w:tab w:val="center" w:pos="4320"/>
        <w:tab w:val="right" w:pos="8640"/>
      </w:tabs>
    </w:pPr>
    <w:rPr>
      <w:b/>
      <w:sz w:val="20"/>
    </w:rPr>
  </w:style>
  <w:style w:type="character" w:styleId="PageNumber">
    <w:name w:val="page number"/>
    <w:basedOn w:val="DefaultParagraphFont"/>
  </w:style>
  <w:style w:type="paragraph" w:styleId="Title">
    <w:name w:val="Title"/>
    <w:basedOn w:val="Normal"/>
    <w:qFormat/>
    <w:rsid w:val="007C59E3"/>
    <w:pPr>
      <w:spacing w:before="480" w:after="480"/>
      <w:jc w:val="center"/>
    </w:pPr>
    <w:rPr>
      <w:b/>
    </w:rPr>
  </w:style>
  <w:style w:type="paragraph" w:styleId="TOC1">
    <w:name w:val="toc 1"/>
    <w:basedOn w:val="Normal"/>
    <w:next w:val="Normal"/>
    <w:autoRedefine/>
    <w:semiHidden/>
    <w:pPr>
      <w:spacing w:before="120" w:after="120"/>
    </w:pPr>
    <w:rPr>
      <w:b/>
      <w:caps/>
      <w:sz w:val="20"/>
    </w:rPr>
  </w:style>
  <w:style w:type="paragraph" w:styleId="TOC2">
    <w:name w:val="toc 2"/>
    <w:basedOn w:val="Normal"/>
    <w:next w:val="Normal"/>
    <w:autoRedefine/>
    <w:semiHidden/>
    <w:pPr>
      <w:ind w:left="240"/>
    </w:pPr>
    <w:rPr>
      <w:smallCaps/>
      <w:sz w:val="20"/>
    </w:rPr>
  </w:style>
  <w:style w:type="paragraph" w:styleId="TOC3">
    <w:name w:val="toc 3"/>
    <w:basedOn w:val="Normal"/>
    <w:next w:val="Normal"/>
    <w:autoRedefine/>
    <w:semiHidden/>
    <w:pPr>
      <w:ind w:left="480"/>
    </w:pPr>
    <w:rPr>
      <w:i/>
      <w:sz w:val="20"/>
    </w:rPr>
  </w:style>
  <w:style w:type="paragraph" w:styleId="TOC4">
    <w:name w:val="toc 4"/>
    <w:basedOn w:val="Normal"/>
    <w:next w:val="Normal"/>
    <w:autoRedefine/>
    <w:semiHidden/>
    <w:pPr>
      <w:ind w:left="720"/>
    </w:pPr>
    <w:rPr>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character" w:customStyle="1" w:styleId="Heading2Char">
    <w:name w:val="Heading 2 Char"/>
    <w:link w:val="Heading2"/>
    <w:locked/>
    <w:rsid w:val="007C59E3"/>
    <w:rPr>
      <w:b/>
      <w:snapToGrid w:val="0"/>
      <w:sz w:val="24"/>
      <w:szCs w:val="24"/>
    </w:rPr>
  </w:style>
  <w:style w:type="paragraph" w:customStyle="1" w:styleId="FOFNumbered">
    <w:name w:val="FOF Numbered"/>
    <w:basedOn w:val="FOFCOL"/>
    <w:pPr>
      <w:numPr>
        <w:numId w:val="8"/>
      </w:numPr>
    </w:pPr>
  </w:style>
  <w:style w:type="paragraph" w:customStyle="1" w:styleId="COLNumbered">
    <w:name w:val="COL Numbered"/>
    <w:basedOn w:val="FOFNumbered"/>
    <w:pPr>
      <w:numPr>
        <w:ilvl w:val="2"/>
        <w:numId w:val="19"/>
      </w:numPr>
    </w:pPr>
  </w:style>
  <w:style w:type="paragraph" w:customStyle="1" w:styleId="OrderingNumbered">
    <w:name w:val="Ordering Numbered"/>
    <w:basedOn w:val="FOFNumbered"/>
    <w:pPr>
      <w:numPr>
        <w:ilvl w:val="3"/>
        <w:numId w:val="19"/>
      </w:numPr>
    </w:pPr>
  </w:style>
  <w:style w:type="paragraph" w:styleId="BlockText">
    <w:name w:val="Block Text"/>
    <w:basedOn w:val="BodyText"/>
    <w:pPr>
      <w:ind w:left="1008" w:right="288" w:firstLine="0"/>
    </w:pPr>
  </w:style>
  <w:style w:type="character" w:customStyle="1" w:styleId="Heading3Char">
    <w:name w:val="Heading 3 Char"/>
    <w:link w:val="Heading3"/>
    <w:rsid w:val="007C59E3"/>
    <w:rPr>
      <w:b/>
      <w:snapToGrid w:val="0"/>
      <w:sz w:val="24"/>
      <w:szCs w:val="24"/>
    </w:rPr>
  </w:style>
  <w:style w:type="character" w:customStyle="1" w:styleId="Heading7Char">
    <w:name w:val="Heading 7 Char"/>
    <w:link w:val="Heading7"/>
    <w:semiHidden/>
    <w:rsid w:val="007C59E3"/>
    <w:rPr>
      <w:rFonts w:ascii="Calibri" w:hAnsi="Calibri"/>
      <w:snapToGrid w:val="0"/>
      <w:sz w:val="24"/>
      <w:szCs w:val="24"/>
    </w:rPr>
  </w:style>
  <w:style w:type="character" w:customStyle="1" w:styleId="Heading8Char">
    <w:name w:val="Heading 8 Char"/>
    <w:link w:val="Heading8"/>
    <w:semiHidden/>
    <w:rsid w:val="007C59E3"/>
    <w:rPr>
      <w:rFonts w:ascii="Calibri" w:hAnsi="Calibri"/>
      <w:i/>
      <w:iCs/>
      <w:snapToGrid w:val="0"/>
      <w:sz w:val="24"/>
      <w:szCs w:val="24"/>
    </w:rPr>
  </w:style>
  <w:style w:type="character" w:customStyle="1" w:styleId="Heading9Char">
    <w:name w:val="Heading 9 Char"/>
    <w:link w:val="Heading9"/>
    <w:semiHidden/>
    <w:rsid w:val="007C59E3"/>
    <w:rPr>
      <w:rFonts w:ascii="Cambria" w:hAnsi="Cambria"/>
      <w:snapToGrid w:val="0"/>
      <w:sz w:val="22"/>
      <w:szCs w:val="22"/>
    </w:rPr>
  </w:style>
  <w:style w:type="character" w:styleId="Emphasis">
    <w:name w:val="Emphasis"/>
    <w:qFormat/>
    <w:rsid w:val="007C59E3"/>
    <w:rPr>
      <w:i/>
      <w:iCs/>
    </w:rPr>
  </w:style>
  <w:style w:type="paragraph" w:styleId="ListParagraph">
    <w:name w:val="List Paragraph"/>
    <w:basedOn w:val="Normal"/>
    <w:uiPriority w:val="34"/>
    <w:qFormat/>
    <w:rsid w:val="007C59E3"/>
    <w:pPr>
      <w:ind w:left="720"/>
    </w:pPr>
  </w:style>
  <w:style w:type="paragraph" w:customStyle="1" w:styleId="OrderHeading1">
    <w:name w:val="Order Heading 1"/>
    <w:qFormat/>
    <w:rsid w:val="007C59E3"/>
    <w:pPr>
      <w:keepNext/>
      <w:keepLines/>
      <w:numPr>
        <w:numId w:val="24"/>
      </w:numPr>
      <w:spacing w:before="480" w:after="120"/>
      <w:jc w:val="center"/>
      <w:outlineLvl w:val="0"/>
    </w:pPr>
    <w:rPr>
      <w:b/>
      <w:sz w:val="24"/>
      <w:lang w:eastAsia="zh-TW"/>
    </w:rPr>
  </w:style>
  <w:style w:type="paragraph" w:customStyle="1" w:styleId="OrderHeading3">
    <w:name w:val="Order Heading 3"/>
    <w:basedOn w:val="OrderHeading1"/>
    <w:qFormat/>
    <w:rsid w:val="007C59E3"/>
    <w:pPr>
      <w:numPr>
        <w:ilvl w:val="2"/>
      </w:numPr>
      <w:spacing w:before="240"/>
      <w:jc w:val="left"/>
      <w:outlineLvl w:val="2"/>
    </w:pPr>
    <w:rPr>
      <w:bCs/>
    </w:rPr>
  </w:style>
  <w:style w:type="paragraph" w:customStyle="1" w:styleId="OrderHeading4">
    <w:name w:val="Order Heading 4"/>
    <w:basedOn w:val="OrderHeading1"/>
    <w:qFormat/>
    <w:rsid w:val="007C59E3"/>
    <w:pPr>
      <w:numPr>
        <w:ilvl w:val="3"/>
      </w:numPr>
      <w:spacing w:before="240"/>
      <w:jc w:val="left"/>
    </w:pPr>
    <w:rPr>
      <w:bCs/>
    </w:rPr>
  </w:style>
  <w:style w:type="paragraph" w:customStyle="1" w:styleId="OrderHeading5">
    <w:name w:val="Order Heading 5"/>
    <w:basedOn w:val="OrderHeading1"/>
    <w:qFormat/>
    <w:rsid w:val="007C59E3"/>
    <w:pPr>
      <w:numPr>
        <w:ilvl w:val="4"/>
      </w:numPr>
      <w:spacing w:before="240" w:after="60"/>
      <w:jc w:val="left"/>
      <w:outlineLvl w:val="4"/>
    </w:pPr>
    <w:rPr>
      <w:bCs/>
    </w:rPr>
  </w:style>
  <w:style w:type="character" w:customStyle="1" w:styleId="FootnoteTextChar">
    <w:name w:val="Footnote Text Char"/>
    <w:aliases w:val="Footnote Text Char1 Char Char,Footnote Text Char Char Char Char,Footnote Text Char1 Char Char Char Char,ALTS FOOTNOTE Char Char Char Char Char,fn Char Char Char Char Char,Footnote Text Char Char Char Char Char Char"/>
    <w:basedOn w:val="DefaultParagraphFont"/>
    <w:link w:val="FootnoteText"/>
    <w:semiHidden/>
    <w:rsid w:val="005040F2"/>
    <w:rPr>
      <w:snapToGrid w:val="0"/>
    </w:rPr>
  </w:style>
  <w:style w:type="paragraph" w:styleId="BalloonText">
    <w:name w:val="Balloon Text"/>
    <w:basedOn w:val="Normal"/>
    <w:link w:val="BalloonTextChar"/>
    <w:rsid w:val="00B91A91"/>
    <w:rPr>
      <w:rFonts w:ascii="Tahoma" w:hAnsi="Tahoma" w:cs="Tahoma"/>
      <w:sz w:val="16"/>
      <w:szCs w:val="16"/>
    </w:rPr>
  </w:style>
  <w:style w:type="character" w:customStyle="1" w:styleId="BalloonTextChar">
    <w:name w:val="Balloon Text Char"/>
    <w:basedOn w:val="DefaultParagraphFont"/>
    <w:link w:val="BalloonText"/>
    <w:rsid w:val="00B91A91"/>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13323">
      <w:bodyDiv w:val="1"/>
      <w:marLeft w:val="30"/>
      <w:marRight w:val="30"/>
      <w:marTop w:val="30"/>
      <w:marBottom w:val="30"/>
      <w:divBdr>
        <w:top w:val="none" w:sz="0" w:space="0" w:color="auto"/>
        <w:left w:val="none" w:sz="0" w:space="0" w:color="auto"/>
        <w:bottom w:val="none" w:sz="0" w:space="0" w:color="auto"/>
        <w:right w:val="none" w:sz="0" w:space="0" w:color="auto"/>
      </w:divBdr>
      <w:divsChild>
        <w:div w:id="1090352009">
          <w:marLeft w:val="0"/>
          <w:marRight w:val="0"/>
          <w:marTop w:val="0"/>
          <w:marBottom w:val="0"/>
          <w:divBdr>
            <w:top w:val="none" w:sz="0" w:space="0" w:color="auto"/>
            <w:left w:val="none" w:sz="0" w:space="0" w:color="auto"/>
            <w:bottom w:val="none" w:sz="0" w:space="0" w:color="auto"/>
            <w:right w:val="none" w:sz="0" w:space="0" w:color="auto"/>
          </w:divBdr>
          <w:divsChild>
            <w:div w:id="2003853177">
              <w:marLeft w:val="45"/>
              <w:marRight w:val="45"/>
              <w:marTop w:val="45"/>
              <w:marBottom w:val="45"/>
              <w:divBdr>
                <w:top w:val="none" w:sz="0" w:space="0" w:color="auto"/>
                <w:left w:val="none" w:sz="0" w:space="0" w:color="auto"/>
                <w:bottom w:val="none" w:sz="0" w:space="0" w:color="auto"/>
                <w:right w:val="none" w:sz="0" w:space="0" w:color="auto"/>
              </w:divBdr>
              <w:divsChild>
                <w:div w:id="801309269">
                  <w:marLeft w:val="0"/>
                  <w:marRight w:val="0"/>
                  <w:marTop w:val="0"/>
                  <w:marBottom w:val="0"/>
                  <w:divBdr>
                    <w:top w:val="none" w:sz="0" w:space="0" w:color="auto"/>
                    <w:left w:val="none" w:sz="0" w:space="0" w:color="auto"/>
                    <w:bottom w:val="none" w:sz="0" w:space="0" w:color="auto"/>
                    <w:right w:val="none" w:sz="0" w:space="0" w:color="auto"/>
                  </w:divBdr>
                  <w:divsChild>
                    <w:div w:id="374357908">
                      <w:marLeft w:val="180"/>
                      <w:marRight w:val="0"/>
                      <w:marTop w:val="0"/>
                      <w:marBottom w:val="0"/>
                      <w:divBdr>
                        <w:top w:val="none" w:sz="0" w:space="0" w:color="auto"/>
                        <w:left w:val="none" w:sz="0" w:space="0" w:color="auto"/>
                        <w:bottom w:val="none" w:sz="0" w:space="0" w:color="auto"/>
                        <w:right w:val="none" w:sz="0" w:space="0" w:color="auto"/>
                      </w:divBdr>
                    </w:div>
                    <w:div w:id="805896302">
                      <w:marLeft w:val="180"/>
                      <w:marRight w:val="0"/>
                      <w:marTop w:val="0"/>
                      <w:marBottom w:val="0"/>
                      <w:divBdr>
                        <w:top w:val="none" w:sz="0" w:space="0" w:color="auto"/>
                        <w:left w:val="none" w:sz="0" w:space="0" w:color="auto"/>
                        <w:bottom w:val="none" w:sz="0" w:space="0" w:color="auto"/>
                        <w:right w:val="none" w:sz="0" w:space="0" w:color="auto"/>
                      </w:divBdr>
                    </w:div>
                    <w:div w:id="159735787">
                      <w:marLeft w:val="180"/>
                      <w:marRight w:val="0"/>
                      <w:marTop w:val="0"/>
                      <w:marBottom w:val="0"/>
                      <w:divBdr>
                        <w:top w:val="none" w:sz="0" w:space="0" w:color="auto"/>
                        <w:left w:val="none" w:sz="0" w:space="0" w:color="auto"/>
                        <w:bottom w:val="none" w:sz="0" w:space="0" w:color="auto"/>
                        <w:right w:val="none" w:sz="0" w:space="0" w:color="auto"/>
                      </w:divBdr>
                    </w:div>
                    <w:div w:id="1778058979">
                      <w:marLeft w:val="180"/>
                      <w:marRight w:val="0"/>
                      <w:marTop w:val="0"/>
                      <w:marBottom w:val="0"/>
                      <w:divBdr>
                        <w:top w:val="none" w:sz="0" w:space="0" w:color="auto"/>
                        <w:left w:val="none" w:sz="0" w:space="0" w:color="auto"/>
                        <w:bottom w:val="none" w:sz="0" w:space="0" w:color="auto"/>
                        <w:right w:val="none" w:sz="0" w:space="0" w:color="auto"/>
                      </w:divBdr>
                    </w:div>
                    <w:div w:id="1308970915">
                      <w:marLeft w:val="1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D26A0-4631-4057-B31B-445D7291A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8</TotalTime>
  <Pages>6</Pages>
  <Words>1356</Words>
  <Characters>7459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PUC DOCKET NO</vt:lpstr>
    </vt:vector>
  </TitlesOfParts>
  <Company>Public Utility Commission TX</Company>
  <LinksUpToDate>false</LinksUpToDate>
  <CharactersWithSpaces>8798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PUC DOCKET NO</dc:title>
  <dc:creator>Dwyer, Davida</dc:creator>
  <cp:lastModifiedBy>Sell, Angie</cp:lastModifiedBy>
  <cp:revision>8</cp:revision>
  <cp:lastPrinted>2014-10-27T14:58:00Z</cp:lastPrinted>
  <dcterms:created xsi:type="dcterms:W3CDTF">2014-10-27T14:19:00Z</dcterms:created>
  <dcterms:modified xsi:type="dcterms:W3CDTF">2014-10-27T15:08:00Z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